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ACR Security Guardrails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acr_policy.tf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Secure Azure Container Registries. Generate ACR access controls, content trust validation settings, image signing tasks, and Defender security triggers.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Azure ACR Security Guardrails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https://github.com/Pradeeptalari14/tp-azure-acr-secure.</w:t>
      </w:r>
    </w:p>
    <w:p>
      <w:pPr>
        <w:pStyle w:val="Heading1"/>
      </w:pPr>
      <w:r>
        <w:t>3. Concrete Production Implementation (acr_policy.tf)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Azure ACR Security Guardrails</w:t>
              <w:br/>
              <w:t># Domain: Automation &amp; SRE Runbooks</w:t>
              <w:br/>
              <w:t># Target Artifact: acr_policy.tf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"azure-acr-security-guardrails"</w:t>
              <w:br/>
              <w:t xml:space="preserve">  sre_standard = "100% Infrastructure-as-Code Compliance &amp; Audited Reproducibility"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(acr_policy.tf),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https://github.com/Pradeeptalari14/tp-azure-acr-secure.git &amp;&amp; cd $(basename "Pradeeptalari14/tp-azure-acr-secure")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https://github.com/Pradeeptalari14/tp-azure-acr-secure.git &amp;&amp; cd $(basename "Pradeeptalari14/tp-azure-acr-secure")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https://www.youtube.com/results?search_query=Azure+ACR+Security+Guardrails+tutorial+deep+dive+architecture+production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https://www.youtube.com/results?search_query=Azure+ACR+Security+Guardrails+KubeCon+SREcon+AI+Engineer+Summit+conference+talk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