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GraphRAG &amp; Neo4j Database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schema_import.cypher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Configure GraphRAG schemas, Neo4j graph databases, APOC imports, and similarity graph queries. Generate Cypher query scripts, vector indexes, and docker-compose files.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GraphRAG &amp; Neo4j Database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https://github.com/Pradeeptalari14/tp-neo4j-graphrag.</w:t>
      </w:r>
    </w:p>
    <w:p>
      <w:pPr>
        <w:pStyle w:val="Heading1"/>
      </w:pPr>
      <w:r>
        <w:t>3. Concrete Production Implementation (schema_import.cypher)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schema_import.cypher</w:t>
              <w:br/>
              <w:t># Studio: GraphRAG &amp; Neo4j Database Studio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"graphrag-&amp;-neo4j-database-studio"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(schema_import.cypher),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https://github.com/Pradeeptalari14/tp-neo4j-graphrag.git &amp;&amp; cd $(basename "Pradeeptalari14/tp-neo4j-graphrag")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https://github.com/Pradeeptalari14/tp-neo4j-graphrag.git &amp;&amp; cd $(basename "Pradeeptalari14/tp-neo4j-graphrag")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https://www.youtube.com/results?search_query=GraphRAG+%26+Neo4j+Database+Studio+tutorial+deep+dive+architecture+production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https://www.youtube.com/results?search_query=GraphRAG+%26+Neo4j+Database+Studio+KubeCon+SREcon+AI+Engineer+Summit+conference+talk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