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Vector Log Pipeline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Incident Triage &amp; Observability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vector.toml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Build Rust-powered, high-throughput log routing streams. Write Vector Remap Language (VRL) rules, mask sensitive PII/IP fields, and verify JSON transforms.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OBSERVABILITY engineering: Monitor and diagnose enterprise Vector Log Pipeline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https://github.com/Pradeeptalari14/tp-vector-pipeline.</w:t>
      </w:r>
    </w:p>
    <w:p>
      <w:pPr>
        <w:pStyle w:val="Heading1"/>
      </w:pPr>
      <w:r>
        <w:t>3. Concrete Production Implementation (vector.toml)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vector.toml</w:t>
              <w:br/>
              <w:t># Studio: Vector Log Pipeline Studio</w:t>
              <w:br/>
              <w:t># Domain: Incident Triage &amp; Observability</w:t>
              <w:br/>
              <w:t># Target SRE Standard: 100% Infrastructure-as-Code Compliance &amp; Audited Reproducibility</w:t>
              <w:br/>
              <w:br/>
              <w:t>[service]</w:t>
              <w:br/>
              <w:t>name = "vector-log-pipeline-studio"</w:t>
              <w:br/>
              <w:t>domain = "Incident Triage &amp; Observability"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(vector.toml),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https://github.com/Pradeeptalari14/tp-vector-pipeline.git &amp;&amp; cd $(basename "Pradeeptalari14/tp-vector-pipeline")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https://github.com/Pradeeptalari14/tp-vector-pipeline.git &amp;&amp; cd $(basename "Pradeeptalari14/tp-vector-pipeline")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https://www.youtube.com/results?search_query=Vector+Log+Pipeline+Studio+tutorial+deep+dive+architecture+production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https://www.youtube.com/results?search_query=Vector+Log+Pipeline+Studio+KubeCon+SREcon+AI+Engineer+Summit+conference+talk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