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Enterprise-Grade RAG with Semantic Cache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FinOps &amp; Cost Optimization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redis_cache.py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Modular caching architecture separating prompt validation, schema hashing, and Redis storage calls.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Enterprise-Grade RAG with Semantic Cache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https://github.com/Pradeeptalari14/tp-enterprise-semantic-cache.</w:t>
      </w:r>
    </w:p>
    <w:p>
      <w:pPr>
        <w:pStyle w:val="Heading1"/>
      </w:pPr>
      <w:r>
        <w:t>3. Concrete Production Implementation (redis_cache.py)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Enterprise-Grade RAG with Semantic Cache</w:t>
              <w:br/>
              <w:t>Domain: FinOps &amp; Cost Optimization</w:t>
              <w:br/>
              <w:t>Target Artifact: redis_cache.py</w:t>
              <w:br/>
              <w:t>Repository: https://github.com/Pradeeptalari14/tp-enterprise-semantic-cache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logging.getLogger("enterprise-grade_rag_with_semantic_cache")</w:t>
              <w:br/>
              <w:br/>
              <w:t>class ProductionConfig:</w:t>
              <w:br/>
              <w:t xml:space="preserve">    SERVICE_NAME = "enterprise-grade-rag-with-semantic-cache"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(redis_cache.py),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https://github.com/Pradeeptalari14/tp-enterprise-semantic-cache.git &amp;&amp; cd $(basename "Pradeeptalari14/tp-enterprise-semantic-cache")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https://github.com/Pradeeptalari14/tp-enterprise-semantic-cache.git &amp;&amp; cd $(basename "Pradeeptalari14/tp-enterprise-semantic-cache")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https://www.youtube.com/results?search_query=Enterprise-Grade+RAG+with+Semantic+Cache+tutorial+deep+dive+architecture+production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https://www.youtube.com/results?search_query=Enterprise-Grade+RAG+with+Semantic+Cache+KubeCon+SREcon+AI+Engineer+Summit+conference+talk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