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GitHub Org Governance &amp; CodeOwners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Local Sandbox &amp; Emulation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1 (Foundations &amp; Sandbox)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CODEOWNERS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Automate repository configuration and review standards. Generate CODEOWNERS controls, branch protection API payloads, and pipeline security rules.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GitHub Org Governance &amp; CodeOwners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https://github.com/Pradeeptalari14/tp-github-gov.</w:t>
      </w:r>
    </w:p>
    <w:p>
      <w:pPr>
        <w:pStyle w:val="Heading1"/>
      </w:pPr>
      <w:r>
        <w:t>3. Concrete Production Implementation (CODEOWNERS)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CODEOWNERS</w:t>
              <w:br/>
              <w:t># Studio: GitHub Org Governance &amp; CodeOwners Studio</w:t>
              <w:br/>
              <w:t># Domain: Local Sandbox &amp; Emulation</w:t>
              <w:br/>
              <w:t># Target SRE Standard: 100% Infrastructure-as-Code Compliance &amp; Audited Reproducibility</w:t>
              <w:br/>
              <w:br/>
              <w:t>[service]</w:t>
              <w:br/>
              <w:t>name = "github-org-governance-&amp;-codeowners-studio"</w:t>
              <w:br/>
              <w:t>domain = "Local Sandbox &amp; Emulation"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(CODEOWNERS),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https://github.com/Pradeeptalari14/tp-github-gov.git &amp;&amp; cd $(basename "Pradeeptalari14/tp-github-gov")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https://github.com/Pradeeptalari14/tp-github-gov.git &amp;&amp; cd $(basename "Pradeeptalari14/tp-github-gov")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https://www.youtube.com/results?search_query=GitHub+Org+Governance+%26+CodeOwners+Studio+tutorial+deep+dive+architecture+production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https://www.youtube.com/results?search_query=GitHub+Org+Governance+%26+CodeOwners+Studio+KubeCon+SREcon+AI+Engineer+Summit+conference+talk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