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WebGPU In-Browser Small LM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WebGPU Zero-Server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Execute 4-bit quantized Small Language Models (SmolLM2/Phi-3.5) directly inside client web browsers with WebGPU WGSL compute shaders and air-gapped privacy.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WebGPU In-Browser Small LM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https://github.com/Pradeeptalari14/tp-webgpu-browser-slm.</w:t>
      </w:r>
    </w:p>
    <w:p>
      <w:pPr>
        <w:pStyle w:val="Heading1"/>
      </w:pPr>
      <w:r>
        <w:t>3. Concrete Production Implementation (WebGPU Zero-Server)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WebGPU Zero-Server</w:t>
              <w:br/>
              <w:t># Studio: WebGPU In-Browser Small LM Studio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"webgpu-in-browser-small-lm-studio"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(WebGPU Zero-Server),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https://github.com/Pradeeptalari14/tp-webgpu-browser-slm.git &amp;&amp; cd $(basename "Pradeeptalari14/tp-webgpu-browser-slm")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https://github.com/Pradeeptalari14/tp-webgpu-browser-slm.git &amp;&amp; cd $(basename "Pradeeptalari14/tp-webgpu-browser-slm")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https://www.youtube.com/results?search_query=WebGPU+In-Browser+Small+LM+Studio+tutorial+deep+dive+architecture+production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https://www.youtube.com/results?search_query=WebGPU+In-Browser+Small+LM+Studio+KubeCon+SREcon+AI+Engineer+Summit+conference+talk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