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056355"/>
        <w:docPartObj>
          <w:docPartGallery w:val="Cover Pages"/>
          <w:docPartUnique/>
        </w:docPartObj>
      </w:sdtPr>
      <w:sdtEndPr>
        <w:rPr>
          <w:rFonts w:eastAsiaTheme="minorHAnsi"/>
          <w:kern w:val="2"/>
          <w:lang w:val="en-AU"/>
          <w14:ligatures w14:val="standardContextual"/>
        </w:rPr>
      </w:sdtEndPr>
      <w:sdtContent>
        <w:p w14:paraId="0FFA382F" w14:textId="4BDFD3CC" w:rsidR="00966F91" w:rsidRDefault="00966F91" w:rsidP="007F2403">
          <w:pPr>
            <w:pStyle w:val="NoSpacing"/>
            <w:spacing w:line="276" w:lineRule="auto"/>
          </w:pPr>
          <w:r>
            <w:rPr>
              <w:noProof/>
            </w:rPr>
            <mc:AlternateContent>
              <mc:Choice Requires="wpg">
                <w:drawing>
                  <wp:anchor distT="0" distB="0" distL="114300" distR="114300" simplePos="0" relativeHeight="251659264" behindDoc="1" locked="0" layoutInCell="1" allowOverlap="1" wp14:anchorId="0D4A1654" wp14:editId="6E475CC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16T00:00:00Z">
                                      <w:dateFormat w:val="M/d/yyyy"/>
                                      <w:lid w:val="en-US"/>
                                      <w:storeMappedDataAs w:val="dateTime"/>
                                      <w:calendar w:val="gregorian"/>
                                    </w:date>
                                  </w:sdtPr>
                                  <w:sdtContent>
                                    <w:p w14:paraId="5A7EFC6F" w14:textId="5A1189FA" w:rsidR="00966F91" w:rsidRDefault="00966F91">
                                      <w:pPr>
                                        <w:pStyle w:val="NoSpacing"/>
                                        <w:jc w:val="right"/>
                                        <w:rPr>
                                          <w:color w:val="FFFFFF" w:themeColor="background1"/>
                                          <w:sz w:val="28"/>
                                          <w:szCs w:val="28"/>
                                        </w:rPr>
                                      </w:pPr>
                                      <w:r>
                                        <w:rPr>
                                          <w:color w:val="FFFFFF" w:themeColor="background1"/>
                                          <w:sz w:val="28"/>
                                          <w:szCs w:val="28"/>
                                        </w:rPr>
                                        <w:t>1/16/2023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4A1654"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16T00:00:00Z">
                                <w:dateFormat w:val="M/d/yyyy"/>
                                <w:lid w:val="en-US"/>
                                <w:storeMappedDataAs w:val="dateTime"/>
                                <w:calendar w:val="gregorian"/>
                              </w:date>
                            </w:sdtPr>
                            <w:sdtContent>
                              <w:p w14:paraId="5A7EFC6F" w14:textId="5A1189FA" w:rsidR="00966F91" w:rsidRDefault="00966F91">
                                <w:pPr>
                                  <w:pStyle w:val="NoSpacing"/>
                                  <w:jc w:val="right"/>
                                  <w:rPr>
                                    <w:color w:val="FFFFFF" w:themeColor="background1"/>
                                    <w:sz w:val="28"/>
                                    <w:szCs w:val="28"/>
                                  </w:rPr>
                                </w:pPr>
                                <w:r>
                                  <w:rPr>
                                    <w:color w:val="FFFFFF" w:themeColor="background1"/>
                                    <w:sz w:val="28"/>
                                    <w:szCs w:val="28"/>
                                  </w:rPr>
                                  <w:t>1/16/2023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7050336" w14:textId="3C14B4BE" w:rsidR="00966F91" w:rsidRPr="00966F91" w:rsidRDefault="00966F91" w:rsidP="007F2403">
          <w:pPr>
            <w:spacing w:line="276" w:lineRule="auto"/>
          </w:pPr>
          <w:r>
            <w:rPr>
              <w:noProof/>
            </w:rPr>
            <mc:AlternateContent>
              <mc:Choice Requires="wps">
                <w:drawing>
                  <wp:anchor distT="0" distB="0" distL="114300" distR="114300" simplePos="0" relativeHeight="251661312" behindDoc="0" locked="0" layoutInCell="1" allowOverlap="1" wp14:anchorId="42BF590F" wp14:editId="5BD315E4">
                    <wp:simplePos x="0" y="0"/>
                    <wp:positionH relativeFrom="page">
                      <wp:posOffset>3379621</wp:posOffset>
                    </wp:positionH>
                    <wp:positionV relativeFrom="page">
                      <wp:posOffset>4572000</wp:posOffset>
                    </wp:positionV>
                    <wp:extent cx="1514247" cy="365760"/>
                    <wp:effectExtent l="0" t="0" r="10160" b="11430"/>
                    <wp:wrapNone/>
                    <wp:docPr id="32" name="Text Box 2"/>
                    <wp:cNvGraphicFramePr/>
                    <a:graphic xmlns:a="http://schemas.openxmlformats.org/drawingml/2006/main">
                      <a:graphicData uri="http://schemas.microsoft.com/office/word/2010/wordprocessingShape">
                        <wps:wsp>
                          <wps:cNvSpPr txBox="1"/>
                          <wps:spPr>
                            <a:xfrm>
                              <a:off x="0" y="0"/>
                              <a:ext cx="151424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87A20" w14:textId="297A82EB" w:rsidR="00966F91" w:rsidRPr="00966F91" w:rsidRDefault="00966F91" w:rsidP="00966F91">
                                <w:pPr>
                                  <w:pStyle w:val="NoSpacing"/>
                                  <w:jc w:val="center"/>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966F91">
                                      <w:rPr>
                                        <w:color w:val="156082" w:themeColor="accent1"/>
                                        <w:sz w:val="40"/>
                                        <w:szCs w:val="40"/>
                                      </w:rPr>
                                      <w:t>Pradip Bhatta</w:t>
                                    </w:r>
                                  </w:sdtContent>
                                </w:sdt>
                              </w:p>
                              <w:p w14:paraId="1C61E1AA" w14:textId="4B73FC17" w:rsidR="00966F91" w:rsidRDefault="00966F91">
                                <w:pPr>
                                  <w:pStyle w:val="NoSpacing"/>
                                  <w:rPr>
                                    <w:color w:val="595959" w:themeColor="text1" w:themeTint="A6"/>
                                    <w:sz w:val="20"/>
                                    <w:szCs w:val="20"/>
                                  </w:rPr>
                                </w:pPr>
                              </w:p>
                              <w:p w14:paraId="5DDEB37C" w14:textId="77777777" w:rsidR="00966F91" w:rsidRDefault="00966F91">
                                <w:pPr>
                                  <w:pStyle w:val="NoSpacing"/>
                                  <w:rPr>
                                    <w:color w:val="595959" w:themeColor="text1" w:themeTint="A6"/>
                                    <w:sz w:val="20"/>
                                    <w:szCs w:val="20"/>
                                  </w:rPr>
                                </w:pPr>
                              </w:p>
                              <w:p w14:paraId="1EDE0FA2" w14:textId="77777777" w:rsidR="00966F91" w:rsidRDefault="00966F91">
                                <w:pPr>
                                  <w:pStyle w:val="NoSpacing"/>
                                  <w:rPr>
                                    <w:color w:val="595959" w:themeColor="text1" w:themeTint="A6"/>
                                    <w:sz w:val="20"/>
                                    <w:szCs w:val="20"/>
                                  </w:rPr>
                                </w:pPr>
                              </w:p>
                              <w:p w14:paraId="533C1F3F" w14:textId="77777777" w:rsidR="00966F91" w:rsidRDefault="00966F91">
                                <w:pPr>
                                  <w:pStyle w:val="NoSpacing"/>
                                  <w:rPr>
                                    <w:color w:val="595959" w:themeColor="text1" w:themeTint="A6"/>
                                    <w:sz w:val="20"/>
                                    <w:szCs w:val="20"/>
                                  </w:rPr>
                                </w:pPr>
                              </w:p>
                              <w:p w14:paraId="217FB149" w14:textId="77777777" w:rsidR="00966F91" w:rsidRDefault="00966F91">
                                <w:pPr>
                                  <w:pStyle w:val="NoSpacing"/>
                                  <w:rPr>
                                    <w:color w:val="595959" w:themeColor="text1" w:themeTint="A6"/>
                                    <w:sz w:val="20"/>
                                    <w:szCs w:val="20"/>
                                  </w:rPr>
                                </w:pPr>
                              </w:p>
                              <w:p w14:paraId="1862C75F" w14:textId="208737C5" w:rsidR="00966F91" w:rsidRPr="00966F91" w:rsidRDefault="00966F91" w:rsidP="00966F91">
                                <w:pPr>
                                  <w:pStyle w:val="NoSpacing"/>
                                  <w:jc w:val="center"/>
                                  <w:rPr>
                                    <w:b/>
                                    <w:bCs/>
                                    <w:color w:val="595959" w:themeColor="text1" w:themeTint="A6"/>
                                    <w:sz w:val="40"/>
                                    <w:szCs w:val="40"/>
                                  </w:rPr>
                                </w:pPr>
                                <w:r w:rsidRPr="00966F91">
                                  <w:rPr>
                                    <w:rFonts w:eastAsiaTheme="minorHAnsi"/>
                                    <w:b/>
                                    <w:bCs/>
                                    <w:sz w:val="44"/>
                                    <w:szCs w:val="44"/>
                                  </w:rPr>
                                  <w:t>AtliQ Hardware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2BF590F" id="_x0000_t202" coordsize="21600,21600" o:spt="202" path="m,l,21600r21600,l21600,xe">
                    <v:stroke joinstyle="miter"/>
                    <v:path gradientshapeok="t" o:connecttype="rect"/>
                  </v:shapetype>
                  <v:shape id="Text Box 2" o:spid="_x0000_s1055" type="#_x0000_t202" style="position:absolute;left:0;text-align:left;margin-left:266.1pt;margin-top:5in;width:119.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" filled="f" stroked="f" strokeweight=".5pt">
                    <v:textbox style="mso-fit-shape-to-text:t" inset="0,0,0,0">
                      <w:txbxContent>
                        <w:p w14:paraId="2AA87A20" w14:textId="297A82EB" w:rsidR="00966F91" w:rsidRPr="00966F91" w:rsidRDefault="00966F91" w:rsidP="00966F91">
                          <w:pPr>
                            <w:pStyle w:val="NoSpacing"/>
                            <w:jc w:val="center"/>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966F91">
                                <w:rPr>
                                  <w:color w:val="156082" w:themeColor="accent1"/>
                                  <w:sz w:val="40"/>
                                  <w:szCs w:val="40"/>
                                </w:rPr>
                                <w:t>Pradip Bhatta</w:t>
                              </w:r>
                            </w:sdtContent>
                          </w:sdt>
                        </w:p>
                        <w:p w14:paraId="1C61E1AA" w14:textId="4B73FC17" w:rsidR="00966F91" w:rsidRDefault="00966F91">
                          <w:pPr>
                            <w:pStyle w:val="NoSpacing"/>
                            <w:rPr>
                              <w:color w:val="595959" w:themeColor="text1" w:themeTint="A6"/>
                              <w:sz w:val="20"/>
                              <w:szCs w:val="20"/>
                            </w:rPr>
                          </w:pPr>
                        </w:p>
                        <w:p w14:paraId="5DDEB37C" w14:textId="77777777" w:rsidR="00966F91" w:rsidRDefault="00966F91">
                          <w:pPr>
                            <w:pStyle w:val="NoSpacing"/>
                            <w:rPr>
                              <w:color w:val="595959" w:themeColor="text1" w:themeTint="A6"/>
                              <w:sz w:val="20"/>
                              <w:szCs w:val="20"/>
                            </w:rPr>
                          </w:pPr>
                        </w:p>
                        <w:p w14:paraId="1EDE0FA2" w14:textId="77777777" w:rsidR="00966F91" w:rsidRDefault="00966F91">
                          <w:pPr>
                            <w:pStyle w:val="NoSpacing"/>
                            <w:rPr>
                              <w:color w:val="595959" w:themeColor="text1" w:themeTint="A6"/>
                              <w:sz w:val="20"/>
                              <w:szCs w:val="20"/>
                            </w:rPr>
                          </w:pPr>
                        </w:p>
                        <w:p w14:paraId="533C1F3F" w14:textId="77777777" w:rsidR="00966F91" w:rsidRDefault="00966F91">
                          <w:pPr>
                            <w:pStyle w:val="NoSpacing"/>
                            <w:rPr>
                              <w:color w:val="595959" w:themeColor="text1" w:themeTint="A6"/>
                              <w:sz w:val="20"/>
                              <w:szCs w:val="20"/>
                            </w:rPr>
                          </w:pPr>
                        </w:p>
                        <w:p w14:paraId="217FB149" w14:textId="77777777" w:rsidR="00966F91" w:rsidRDefault="00966F91">
                          <w:pPr>
                            <w:pStyle w:val="NoSpacing"/>
                            <w:rPr>
                              <w:color w:val="595959" w:themeColor="text1" w:themeTint="A6"/>
                              <w:sz w:val="20"/>
                              <w:szCs w:val="20"/>
                            </w:rPr>
                          </w:pPr>
                        </w:p>
                        <w:p w14:paraId="1862C75F" w14:textId="208737C5" w:rsidR="00966F91" w:rsidRPr="00966F91" w:rsidRDefault="00966F91" w:rsidP="00966F91">
                          <w:pPr>
                            <w:pStyle w:val="NoSpacing"/>
                            <w:jc w:val="center"/>
                            <w:rPr>
                              <w:b/>
                              <w:bCs/>
                              <w:color w:val="595959" w:themeColor="text1" w:themeTint="A6"/>
                              <w:sz w:val="40"/>
                              <w:szCs w:val="40"/>
                            </w:rPr>
                          </w:pPr>
                          <w:r w:rsidRPr="00966F91">
                            <w:rPr>
                              <w:rFonts w:eastAsiaTheme="minorHAnsi"/>
                              <w:b/>
                              <w:bCs/>
                              <w:sz w:val="44"/>
                              <w:szCs w:val="44"/>
                            </w:rPr>
                            <w:t>AtliQ Hardware</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F6473C4" wp14:editId="710ED7E7">
                    <wp:simplePos x="0" y="0"/>
                    <wp:positionH relativeFrom="page">
                      <wp:posOffset>2365851</wp:posOffset>
                    </wp:positionH>
                    <wp:positionV relativeFrom="page">
                      <wp:posOffset>3114929</wp:posOffset>
                    </wp:positionV>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C1DE12" w14:textId="356EE170" w:rsidR="00966F91" w:rsidRPr="00966F91" w:rsidRDefault="00966F91" w:rsidP="00966F91">
                                <w:pPr>
                                  <w:spacing w:before="120"/>
                                  <w:jc w:val="center"/>
                                  <w:rPr>
                                    <w:b/>
                                    <w:bCs/>
                                    <w:color w:val="404040" w:themeColor="text1" w:themeTint="BF"/>
                                    <w:sz w:val="56"/>
                                    <w:szCs w:val="56"/>
                                  </w:rPr>
                                </w:pPr>
                                <w:r w:rsidRPr="00966F91">
                                  <w:rPr>
                                    <w:b/>
                                    <w:bCs/>
                                    <w:sz w:val="40"/>
                                    <w:szCs w:val="40"/>
                                  </w:rPr>
                                  <w:t>Analysis of P&amp;L and Market Performance 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F6473C4" id="Text Box 3" o:spid="_x0000_s1056" type="#_x0000_t202" style="position:absolute;left:0;text-align:left;margin-left:186.3pt;margin-top:245.2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" filled="f" stroked="f" strokeweight=".5pt">
                    <v:textbox style="mso-fit-shape-to-text:t" inset="0,0,0,0">
                      <w:txbxContent>
                        <w:p w14:paraId="38C1DE12" w14:textId="356EE170" w:rsidR="00966F91" w:rsidRPr="00966F91" w:rsidRDefault="00966F91" w:rsidP="00966F91">
                          <w:pPr>
                            <w:spacing w:before="120"/>
                            <w:jc w:val="center"/>
                            <w:rPr>
                              <w:b/>
                              <w:bCs/>
                              <w:color w:val="404040" w:themeColor="text1" w:themeTint="BF"/>
                              <w:sz w:val="56"/>
                              <w:szCs w:val="56"/>
                            </w:rPr>
                          </w:pPr>
                          <w:r w:rsidRPr="00966F91">
                            <w:rPr>
                              <w:b/>
                              <w:bCs/>
                              <w:sz w:val="40"/>
                              <w:szCs w:val="40"/>
                            </w:rPr>
                            <w:t>Analysis of P&amp;L and Market Performance at</w:t>
                          </w:r>
                        </w:p>
                      </w:txbxContent>
                    </v:textbox>
                    <w10:wrap anchorx="page" anchory="page"/>
                  </v:shape>
                </w:pict>
              </mc:Fallback>
            </mc:AlternateContent>
          </w:r>
          <w:r>
            <w:br w:type="page"/>
          </w:r>
        </w:p>
      </w:sdtContent>
    </w:sdt>
    <w:p w14:paraId="617258FE" w14:textId="77777777" w:rsidR="00966F91" w:rsidRDefault="00966F91" w:rsidP="007F2403">
      <w:pPr>
        <w:spacing w:line="276" w:lineRule="auto"/>
      </w:pPr>
    </w:p>
    <w:sdt>
      <w:sdtPr>
        <w:id w:val="-1312087187"/>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6E5ED571" w14:textId="618F7E1E" w:rsidR="00966F91" w:rsidRDefault="00966F91" w:rsidP="007F2403">
          <w:pPr>
            <w:pStyle w:val="TOCHeading"/>
            <w:spacing w:line="276" w:lineRule="auto"/>
          </w:pPr>
          <w:r>
            <w:t>Contents</w:t>
          </w:r>
        </w:p>
        <w:p w14:paraId="2D3D5A6B" w14:textId="7E41AEA0" w:rsidR="0045235A" w:rsidRDefault="00966F91" w:rsidP="007F2403">
          <w:pPr>
            <w:pStyle w:val="TOC2"/>
            <w:tabs>
              <w:tab w:val="left" w:pos="720"/>
              <w:tab w:val="right" w:leader="dot" w:pos="10456"/>
            </w:tabs>
            <w:spacing w:line="276" w:lineRule="auto"/>
            <w:rPr>
              <w:rFonts w:eastAsiaTheme="minorEastAsia"/>
              <w:noProof/>
              <w:sz w:val="24"/>
              <w:szCs w:val="21"/>
              <w:lang w:eastAsia="en-AU" w:bidi="ne-NP"/>
            </w:rPr>
          </w:pPr>
          <w:r>
            <w:fldChar w:fldCharType="begin"/>
          </w:r>
          <w:r>
            <w:instrText xml:space="preserve"> TOC \o "1-3" \h \z \u </w:instrText>
          </w:r>
          <w:r>
            <w:fldChar w:fldCharType="separate"/>
          </w:r>
          <w:hyperlink w:anchor="_Toc156313802" w:history="1">
            <w:r w:rsidR="0045235A" w:rsidRPr="002160A8">
              <w:rPr>
                <w:rStyle w:val="Hyperlink"/>
                <w:noProof/>
              </w:rPr>
              <w:t>1.</w:t>
            </w:r>
            <w:r w:rsidR="0045235A">
              <w:rPr>
                <w:rFonts w:eastAsiaTheme="minorEastAsia"/>
                <w:noProof/>
                <w:sz w:val="24"/>
                <w:szCs w:val="21"/>
                <w:lang w:eastAsia="en-AU" w:bidi="ne-NP"/>
              </w:rPr>
              <w:tab/>
            </w:r>
            <w:r w:rsidR="0045235A" w:rsidRPr="002160A8">
              <w:rPr>
                <w:rStyle w:val="Hyperlink"/>
                <w:noProof/>
              </w:rPr>
              <w:t>Introduction</w:t>
            </w:r>
            <w:r w:rsidR="0045235A">
              <w:rPr>
                <w:noProof/>
                <w:webHidden/>
              </w:rPr>
              <w:tab/>
            </w:r>
            <w:r w:rsidR="0045235A">
              <w:rPr>
                <w:noProof/>
                <w:webHidden/>
              </w:rPr>
              <w:fldChar w:fldCharType="begin"/>
            </w:r>
            <w:r w:rsidR="0045235A">
              <w:rPr>
                <w:noProof/>
                <w:webHidden/>
              </w:rPr>
              <w:instrText xml:space="preserve"> PAGEREF _Toc156313802 \h </w:instrText>
            </w:r>
            <w:r w:rsidR="0045235A">
              <w:rPr>
                <w:noProof/>
                <w:webHidden/>
              </w:rPr>
            </w:r>
            <w:r w:rsidR="0045235A">
              <w:rPr>
                <w:noProof/>
                <w:webHidden/>
              </w:rPr>
              <w:fldChar w:fldCharType="separate"/>
            </w:r>
            <w:r w:rsidR="0045235A">
              <w:rPr>
                <w:noProof/>
                <w:webHidden/>
              </w:rPr>
              <w:t>2</w:t>
            </w:r>
            <w:r w:rsidR="0045235A">
              <w:rPr>
                <w:noProof/>
                <w:webHidden/>
              </w:rPr>
              <w:fldChar w:fldCharType="end"/>
            </w:r>
          </w:hyperlink>
        </w:p>
        <w:p w14:paraId="25C2862D" w14:textId="20923432" w:rsidR="0045235A" w:rsidRDefault="0045235A" w:rsidP="007F2403">
          <w:pPr>
            <w:pStyle w:val="TOC2"/>
            <w:tabs>
              <w:tab w:val="left" w:pos="720"/>
              <w:tab w:val="right" w:leader="dot" w:pos="10456"/>
            </w:tabs>
            <w:spacing w:line="276" w:lineRule="auto"/>
            <w:rPr>
              <w:rFonts w:eastAsiaTheme="minorEastAsia"/>
              <w:noProof/>
              <w:sz w:val="24"/>
              <w:szCs w:val="21"/>
              <w:lang w:eastAsia="en-AU" w:bidi="ne-NP"/>
            </w:rPr>
          </w:pPr>
          <w:hyperlink w:anchor="_Toc156313803" w:history="1">
            <w:r w:rsidRPr="002160A8">
              <w:rPr>
                <w:rStyle w:val="Hyperlink"/>
                <w:noProof/>
              </w:rPr>
              <w:t>2.</w:t>
            </w:r>
            <w:r>
              <w:rPr>
                <w:rFonts w:eastAsiaTheme="minorEastAsia"/>
                <w:noProof/>
                <w:sz w:val="24"/>
                <w:szCs w:val="21"/>
                <w:lang w:eastAsia="en-AU" w:bidi="ne-NP"/>
              </w:rPr>
              <w:tab/>
            </w:r>
            <w:r w:rsidRPr="002160A8">
              <w:rPr>
                <w:rStyle w:val="Hyperlink"/>
                <w:noProof/>
              </w:rPr>
              <w:t>Key Metrics Analysis</w:t>
            </w:r>
            <w:r>
              <w:rPr>
                <w:noProof/>
                <w:webHidden/>
              </w:rPr>
              <w:tab/>
            </w:r>
            <w:r>
              <w:rPr>
                <w:noProof/>
                <w:webHidden/>
              </w:rPr>
              <w:fldChar w:fldCharType="begin"/>
            </w:r>
            <w:r>
              <w:rPr>
                <w:noProof/>
                <w:webHidden/>
              </w:rPr>
              <w:instrText xml:space="preserve"> PAGEREF _Toc156313803 \h </w:instrText>
            </w:r>
            <w:r>
              <w:rPr>
                <w:noProof/>
                <w:webHidden/>
              </w:rPr>
            </w:r>
            <w:r>
              <w:rPr>
                <w:noProof/>
                <w:webHidden/>
              </w:rPr>
              <w:fldChar w:fldCharType="separate"/>
            </w:r>
            <w:r>
              <w:rPr>
                <w:noProof/>
                <w:webHidden/>
              </w:rPr>
              <w:t>2</w:t>
            </w:r>
            <w:r>
              <w:rPr>
                <w:noProof/>
                <w:webHidden/>
              </w:rPr>
              <w:fldChar w:fldCharType="end"/>
            </w:r>
          </w:hyperlink>
        </w:p>
        <w:p w14:paraId="32A234E1" w14:textId="7E06691B" w:rsidR="0045235A" w:rsidRDefault="0045235A" w:rsidP="007F2403">
          <w:pPr>
            <w:pStyle w:val="TOC3"/>
            <w:tabs>
              <w:tab w:val="right" w:leader="dot" w:pos="10456"/>
            </w:tabs>
            <w:spacing w:line="276" w:lineRule="auto"/>
            <w:rPr>
              <w:rFonts w:eastAsiaTheme="minorEastAsia"/>
              <w:noProof/>
              <w:sz w:val="24"/>
              <w:szCs w:val="21"/>
              <w:lang w:eastAsia="en-AU" w:bidi="ne-NP"/>
            </w:rPr>
          </w:pPr>
          <w:hyperlink w:anchor="_Toc156313804" w:history="1">
            <w:r w:rsidRPr="002160A8">
              <w:rPr>
                <w:rStyle w:val="Hyperlink"/>
                <w:noProof/>
              </w:rPr>
              <w:t>Net Sales:</w:t>
            </w:r>
            <w:r>
              <w:rPr>
                <w:noProof/>
                <w:webHidden/>
              </w:rPr>
              <w:tab/>
            </w:r>
            <w:r>
              <w:rPr>
                <w:noProof/>
                <w:webHidden/>
              </w:rPr>
              <w:fldChar w:fldCharType="begin"/>
            </w:r>
            <w:r>
              <w:rPr>
                <w:noProof/>
                <w:webHidden/>
              </w:rPr>
              <w:instrText xml:space="preserve"> PAGEREF _Toc156313804 \h </w:instrText>
            </w:r>
            <w:r>
              <w:rPr>
                <w:noProof/>
                <w:webHidden/>
              </w:rPr>
            </w:r>
            <w:r>
              <w:rPr>
                <w:noProof/>
                <w:webHidden/>
              </w:rPr>
              <w:fldChar w:fldCharType="separate"/>
            </w:r>
            <w:r>
              <w:rPr>
                <w:noProof/>
                <w:webHidden/>
              </w:rPr>
              <w:t>2</w:t>
            </w:r>
            <w:r>
              <w:rPr>
                <w:noProof/>
                <w:webHidden/>
              </w:rPr>
              <w:fldChar w:fldCharType="end"/>
            </w:r>
          </w:hyperlink>
        </w:p>
        <w:p w14:paraId="13D36EFD" w14:textId="171ED644" w:rsidR="0045235A" w:rsidRDefault="0045235A" w:rsidP="007F2403">
          <w:pPr>
            <w:pStyle w:val="TOC3"/>
            <w:tabs>
              <w:tab w:val="right" w:leader="dot" w:pos="10456"/>
            </w:tabs>
            <w:spacing w:line="276" w:lineRule="auto"/>
            <w:rPr>
              <w:rFonts w:eastAsiaTheme="minorEastAsia"/>
              <w:noProof/>
              <w:sz w:val="24"/>
              <w:szCs w:val="21"/>
              <w:lang w:eastAsia="en-AU" w:bidi="ne-NP"/>
            </w:rPr>
          </w:pPr>
          <w:hyperlink w:anchor="_Toc156313805" w:history="1">
            <w:r w:rsidRPr="002160A8">
              <w:rPr>
                <w:rStyle w:val="Hyperlink"/>
                <w:noProof/>
              </w:rPr>
              <w:t>COGS:</w:t>
            </w:r>
            <w:r>
              <w:rPr>
                <w:noProof/>
                <w:webHidden/>
              </w:rPr>
              <w:tab/>
            </w:r>
            <w:r>
              <w:rPr>
                <w:noProof/>
                <w:webHidden/>
              </w:rPr>
              <w:fldChar w:fldCharType="begin"/>
            </w:r>
            <w:r>
              <w:rPr>
                <w:noProof/>
                <w:webHidden/>
              </w:rPr>
              <w:instrText xml:space="preserve"> PAGEREF _Toc156313805 \h </w:instrText>
            </w:r>
            <w:r>
              <w:rPr>
                <w:noProof/>
                <w:webHidden/>
              </w:rPr>
            </w:r>
            <w:r>
              <w:rPr>
                <w:noProof/>
                <w:webHidden/>
              </w:rPr>
              <w:fldChar w:fldCharType="separate"/>
            </w:r>
            <w:r>
              <w:rPr>
                <w:noProof/>
                <w:webHidden/>
              </w:rPr>
              <w:t>2</w:t>
            </w:r>
            <w:r>
              <w:rPr>
                <w:noProof/>
                <w:webHidden/>
              </w:rPr>
              <w:fldChar w:fldCharType="end"/>
            </w:r>
          </w:hyperlink>
        </w:p>
        <w:p w14:paraId="31558BD2" w14:textId="4ECAD441" w:rsidR="0045235A" w:rsidRDefault="0045235A" w:rsidP="007F2403">
          <w:pPr>
            <w:pStyle w:val="TOC3"/>
            <w:tabs>
              <w:tab w:val="right" w:leader="dot" w:pos="10456"/>
            </w:tabs>
            <w:spacing w:line="276" w:lineRule="auto"/>
            <w:rPr>
              <w:rFonts w:eastAsiaTheme="minorEastAsia"/>
              <w:noProof/>
              <w:sz w:val="24"/>
              <w:szCs w:val="21"/>
              <w:lang w:eastAsia="en-AU" w:bidi="ne-NP"/>
            </w:rPr>
          </w:pPr>
          <w:hyperlink w:anchor="_Toc156313806" w:history="1">
            <w:r w:rsidRPr="002160A8">
              <w:rPr>
                <w:rStyle w:val="Hyperlink"/>
                <w:noProof/>
              </w:rPr>
              <w:t>Gross Margin</w:t>
            </w:r>
            <w:r>
              <w:rPr>
                <w:noProof/>
                <w:webHidden/>
              </w:rPr>
              <w:tab/>
            </w:r>
            <w:r>
              <w:rPr>
                <w:noProof/>
                <w:webHidden/>
              </w:rPr>
              <w:fldChar w:fldCharType="begin"/>
            </w:r>
            <w:r>
              <w:rPr>
                <w:noProof/>
                <w:webHidden/>
              </w:rPr>
              <w:instrText xml:space="preserve"> PAGEREF _Toc156313806 \h </w:instrText>
            </w:r>
            <w:r>
              <w:rPr>
                <w:noProof/>
                <w:webHidden/>
              </w:rPr>
            </w:r>
            <w:r>
              <w:rPr>
                <w:noProof/>
                <w:webHidden/>
              </w:rPr>
              <w:fldChar w:fldCharType="separate"/>
            </w:r>
            <w:r>
              <w:rPr>
                <w:noProof/>
                <w:webHidden/>
              </w:rPr>
              <w:t>3</w:t>
            </w:r>
            <w:r>
              <w:rPr>
                <w:noProof/>
                <w:webHidden/>
              </w:rPr>
              <w:fldChar w:fldCharType="end"/>
            </w:r>
          </w:hyperlink>
        </w:p>
        <w:p w14:paraId="39E1BBB3" w14:textId="78C41C0B" w:rsidR="0045235A" w:rsidRDefault="0045235A" w:rsidP="007F2403">
          <w:pPr>
            <w:pStyle w:val="TOC3"/>
            <w:tabs>
              <w:tab w:val="right" w:leader="dot" w:pos="10456"/>
            </w:tabs>
            <w:spacing w:line="276" w:lineRule="auto"/>
            <w:rPr>
              <w:rFonts w:eastAsiaTheme="minorEastAsia"/>
              <w:noProof/>
              <w:sz w:val="24"/>
              <w:szCs w:val="21"/>
              <w:lang w:eastAsia="en-AU" w:bidi="ne-NP"/>
            </w:rPr>
          </w:pPr>
          <w:hyperlink w:anchor="_Toc156313807" w:history="1">
            <w:r w:rsidRPr="002160A8">
              <w:rPr>
                <w:rStyle w:val="Hyperlink"/>
                <w:noProof/>
              </w:rPr>
              <w:t>GM%</w:t>
            </w:r>
            <w:r>
              <w:rPr>
                <w:noProof/>
                <w:webHidden/>
              </w:rPr>
              <w:tab/>
            </w:r>
            <w:r>
              <w:rPr>
                <w:noProof/>
                <w:webHidden/>
              </w:rPr>
              <w:fldChar w:fldCharType="begin"/>
            </w:r>
            <w:r>
              <w:rPr>
                <w:noProof/>
                <w:webHidden/>
              </w:rPr>
              <w:instrText xml:space="preserve"> PAGEREF _Toc156313807 \h </w:instrText>
            </w:r>
            <w:r>
              <w:rPr>
                <w:noProof/>
                <w:webHidden/>
              </w:rPr>
            </w:r>
            <w:r>
              <w:rPr>
                <w:noProof/>
                <w:webHidden/>
              </w:rPr>
              <w:fldChar w:fldCharType="separate"/>
            </w:r>
            <w:r>
              <w:rPr>
                <w:noProof/>
                <w:webHidden/>
              </w:rPr>
              <w:t>3</w:t>
            </w:r>
            <w:r>
              <w:rPr>
                <w:noProof/>
                <w:webHidden/>
              </w:rPr>
              <w:fldChar w:fldCharType="end"/>
            </w:r>
          </w:hyperlink>
        </w:p>
        <w:p w14:paraId="23EA95A6" w14:textId="3B6D3213" w:rsidR="0045235A" w:rsidRDefault="0045235A" w:rsidP="007F2403">
          <w:pPr>
            <w:pStyle w:val="TOC2"/>
            <w:tabs>
              <w:tab w:val="left" w:pos="720"/>
              <w:tab w:val="right" w:leader="dot" w:pos="10456"/>
            </w:tabs>
            <w:spacing w:line="276" w:lineRule="auto"/>
            <w:rPr>
              <w:rFonts w:eastAsiaTheme="minorEastAsia"/>
              <w:noProof/>
              <w:sz w:val="24"/>
              <w:szCs w:val="21"/>
              <w:lang w:eastAsia="en-AU" w:bidi="ne-NP"/>
            </w:rPr>
          </w:pPr>
          <w:hyperlink w:anchor="_Toc156313808" w:history="1">
            <w:r w:rsidRPr="002160A8">
              <w:rPr>
                <w:rStyle w:val="Hyperlink"/>
                <w:noProof/>
              </w:rPr>
              <w:t>3.</w:t>
            </w:r>
            <w:r>
              <w:rPr>
                <w:rFonts w:eastAsiaTheme="minorEastAsia"/>
                <w:noProof/>
                <w:sz w:val="24"/>
                <w:szCs w:val="21"/>
                <w:lang w:eastAsia="en-AU" w:bidi="ne-NP"/>
              </w:rPr>
              <w:tab/>
            </w:r>
            <w:r w:rsidRPr="002160A8">
              <w:rPr>
                <w:rStyle w:val="Hyperlink"/>
                <w:noProof/>
              </w:rPr>
              <w:t>Market Performance</w:t>
            </w:r>
            <w:r>
              <w:rPr>
                <w:noProof/>
                <w:webHidden/>
              </w:rPr>
              <w:tab/>
            </w:r>
            <w:r>
              <w:rPr>
                <w:noProof/>
                <w:webHidden/>
              </w:rPr>
              <w:fldChar w:fldCharType="begin"/>
            </w:r>
            <w:r>
              <w:rPr>
                <w:noProof/>
                <w:webHidden/>
              </w:rPr>
              <w:instrText xml:space="preserve"> PAGEREF _Toc156313808 \h </w:instrText>
            </w:r>
            <w:r>
              <w:rPr>
                <w:noProof/>
                <w:webHidden/>
              </w:rPr>
            </w:r>
            <w:r>
              <w:rPr>
                <w:noProof/>
                <w:webHidden/>
              </w:rPr>
              <w:fldChar w:fldCharType="separate"/>
            </w:r>
            <w:r>
              <w:rPr>
                <w:noProof/>
                <w:webHidden/>
              </w:rPr>
              <w:t>3</w:t>
            </w:r>
            <w:r>
              <w:rPr>
                <w:noProof/>
                <w:webHidden/>
              </w:rPr>
              <w:fldChar w:fldCharType="end"/>
            </w:r>
          </w:hyperlink>
        </w:p>
        <w:p w14:paraId="797BD00D" w14:textId="56E81D23" w:rsidR="0045235A" w:rsidRDefault="0045235A" w:rsidP="007F2403">
          <w:pPr>
            <w:pStyle w:val="TOC3"/>
            <w:tabs>
              <w:tab w:val="right" w:leader="dot" w:pos="10456"/>
            </w:tabs>
            <w:spacing w:line="276" w:lineRule="auto"/>
            <w:rPr>
              <w:rFonts w:eastAsiaTheme="minorEastAsia"/>
              <w:noProof/>
              <w:sz w:val="24"/>
              <w:szCs w:val="21"/>
              <w:lang w:eastAsia="en-AU" w:bidi="ne-NP"/>
            </w:rPr>
          </w:pPr>
          <w:hyperlink w:anchor="_Toc156313809" w:history="1">
            <w:r w:rsidRPr="002160A8">
              <w:rPr>
                <w:rStyle w:val="Hyperlink"/>
                <w:noProof/>
              </w:rPr>
              <w:t>Customer-wise Performance in 2019, 2020, and 2021</w:t>
            </w:r>
            <w:r>
              <w:rPr>
                <w:noProof/>
                <w:webHidden/>
              </w:rPr>
              <w:tab/>
            </w:r>
            <w:r>
              <w:rPr>
                <w:noProof/>
                <w:webHidden/>
              </w:rPr>
              <w:fldChar w:fldCharType="begin"/>
            </w:r>
            <w:r>
              <w:rPr>
                <w:noProof/>
                <w:webHidden/>
              </w:rPr>
              <w:instrText xml:space="preserve"> PAGEREF _Toc156313809 \h </w:instrText>
            </w:r>
            <w:r>
              <w:rPr>
                <w:noProof/>
                <w:webHidden/>
              </w:rPr>
            </w:r>
            <w:r>
              <w:rPr>
                <w:noProof/>
                <w:webHidden/>
              </w:rPr>
              <w:fldChar w:fldCharType="separate"/>
            </w:r>
            <w:r>
              <w:rPr>
                <w:noProof/>
                <w:webHidden/>
              </w:rPr>
              <w:t>3</w:t>
            </w:r>
            <w:r>
              <w:rPr>
                <w:noProof/>
                <w:webHidden/>
              </w:rPr>
              <w:fldChar w:fldCharType="end"/>
            </w:r>
          </w:hyperlink>
        </w:p>
        <w:p w14:paraId="1DE97F42" w14:textId="735453C9" w:rsidR="0045235A" w:rsidRDefault="0045235A" w:rsidP="007F2403">
          <w:pPr>
            <w:pStyle w:val="TOC3"/>
            <w:tabs>
              <w:tab w:val="right" w:leader="dot" w:pos="10456"/>
            </w:tabs>
            <w:spacing w:line="276" w:lineRule="auto"/>
            <w:rPr>
              <w:rFonts w:eastAsiaTheme="minorEastAsia"/>
              <w:noProof/>
              <w:sz w:val="24"/>
              <w:szCs w:val="21"/>
              <w:lang w:eastAsia="en-AU" w:bidi="ne-NP"/>
            </w:rPr>
          </w:pPr>
          <w:hyperlink w:anchor="_Toc156313810" w:history="1">
            <w:r w:rsidRPr="002160A8">
              <w:rPr>
                <w:rStyle w:val="Hyperlink"/>
                <w:noProof/>
              </w:rPr>
              <w:t>Quarterly Financial Performance (2019-2021)</w:t>
            </w:r>
            <w:r>
              <w:rPr>
                <w:noProof/>
                <w:webHidden/>
              </w:rPr>
              <w:tab/>
            </w:r>
            <w:r>
              <w:rPr>
                <w:noProof/>
                <w:webHidden/>
              </w:rPr>
              <w:fldChar w:fldCharType="begin"/>
            </w:r>
            <w:r>
              <w:rPr>
                <w:noProof/>
                <w:webHidden/>
              </w:rPr>
              <w:instrText xml:space="preserve"> PAGEREF _Toc156313810 \h </w:instrText>
            </w:r>
            <w:r>
              <w:rPr>
                <w:noProof/>
                <w:webHidden/>
              </w:rPr>
            </w:r>
            <w:r>
              <w:rPr>
                <w:noProof/>
                <w:webHidden/>
              </w:rPr>
              <w:fldChar w:fldCharType="separate"/>
            </w:r>
            <w:r>
              <w:rPr>
                <w:noProof/>
                <w:webHidden/>
              </w:rPr>
              <w:t>4</w:t>
            </w:r>
            <w:r>
              <w:rPr>
                <w:noProof/>
                <w:webHidden/>
              </w:rPr>
              <w:fldChar w:fldCharType="end"/>
            </w:r>
          </w:hyperlink>
        </w:p>
        <w:p w14:paraId="21C3B642" w14:textId="07460192" w:rsidR="0045235A" w:rsidRDefault="0045235A" w:rsidP="007F2403">
          <w:pPr>
            <w:pStyle w:val="TOC2"/>
            <w:tabs>
              <w:tab w:val="left" w:pos="720"/>
              <w:tab w:val="right" w:leader="dot" w:pos="10456"/>
            </w:tabs>
            <w:spacing w:line="276" w:lineRule="auto"/>
            <w:rPr>
              <w:rFonts w:eastAsiaTheme="minorEastAsia"/>
              <w:noProof/>
              <w:sz w:val="24"/>
              <w:szCs w:val="21"/>
              <w:lang w:eastAsia="en-AU" w:bidi="ne-NP"/>
            </w:rPr>
          </w:pPr>
          <w:hyperlink w:anchor="_Toc156313811" w:history="1">
            <w:r w:rsidRPr="002160A8">
              <w:rPr>
                <w:rStyle w:val="Hyperlink"/>
                <w:noProof/>
              </w:rPr>
              <w:t>4.</w:t>
            </w:r>
            <w:r>
              <w:rPr>
                <w:rFonts w:eastAsiaTheme="minorEastAsia"/>
                <w:noProof/>
                <w:sz w:val="24"/>
                <w:szCs w:val="21"/>
                <w:lang w:eastAsia="en-AU" w:bidi="ne-NP"/>
              </w:rPr>
              <w:tab/>
            </w:r>
            <w:r w:rsidRPr="002160A8">
              <w:rPr>
                <w:rStyle w:val="Hyperlink"/>
                <w:noProof/>
              </w:rPr>
              <w:t>Percentage comparison of Net Sales from 2020 to 2021 and 2021 to 2019</w:t>
            </w:r>
            <w:r>
              <w:rPr>
                <w:noProof/>
                <w:webHidden/>
              </w:rPr>
              <w:tab/>
            </w:r>
            <w:r>
              <w:rPr>
                <w:noProof/>
                <w:webHidden/>
              </w:rPr>
              <w:fldChar w:fldCharType="begin"/>
            </w:r>
            <w:r>
              <w:rPr>
                <w:noProof/>
                <w:webHidden/>
              </w:rPr>
              <w:instrText xml:space="preserve"> PAGEREF _Toc156313811 \h </w:instrText>
            </w:r>
            <w:r>
              <w:rPr>
                <w:noProof/>
                <w:webHidden/>
              </w:rPr>
            </w:r>
            <w:r>
              <w:rPr>
                <w:noProof/>
                <w:webHidden/>
              </w:rPr>
              <w:fldChar w:fldCharType="separate"/>
            </w:r>
            <w:r>
              <w:rPr>
                <w:noProof/>
                <w:webHidden/>
              </w:rPr>
              <w:t>4</w:t>
            </w:r>
            <w:r>
              <w:rPr>
                <w:noProof/>
                <w:webHidden/>
              </w:rPr>
              <w:fldChar w:fldCharType="end"/>
            </w:r>
          </w:hyperlink>
        </w:p>
        <w:p w14:paraId="6C33CD0D" w14:textId="1532CDCA" w:rsidR="0045235A" w:rsidRDefault="0045235A" w:rsidP="007F2403">
          <w:pPr>
            <w:pStyle w:val="TOC2"/>
            <w:tabs>
              <w:tab w:val="left" w:pos="720"/>
              <w:tab w:val="right" w:leader="dot" w:pos="10456"/>
            </w:tabs>
            <w:spacing w:line="276" w:lineRule="auto"/>
            <w:rPr>
              <w:rFonts w:eastAsiaTheme="minorEastAsia"/>
              <w:noProof/>
              <w:sz w:val="24"/>
              <w:szCs w:val="21"/>
              <w:lang w:eastAsia="en-AU" w:bidi="ne-NP"/>
            </w:rPr>
          </w:pPr>
          <w:hyperlink w:anchor="_Toc156313812" w:history="1">
            <w:r w:rsidRPr="002160A8">
              <w:rPr>
                <w:rStyle w:val="Hyperlink"/>
                <w:noProof/>
              </w:rPr>
              <w:t>5.</w:t>
            </w:r>
            <w:r>
              <w:rPr>
                <w:rFonts w:eastAsiaTheme="minorEastAsia"/>
                <w:noProof/>
                <w:sz w:val="24"/>
                <w:szCs w:val="21"/>
                <w:lang w:eastAsia="en-AU" w:bidi="ne-NP"/>
              </w:rPr>
              <w:tab/>
            </w:r>
            <w:r w:rsidRPr="002160A8">
              <w:rPr>
                <w:rStyle w:val="Hyperlink"/>
                <w:noProof/>
              </w:rPr>
              <w:t>Summary and Recommendations</w:t>
            </w:r>
            <w:r>
              <w:rPr>
                <w:noProof/>
                <w:webHidden/>
              </w:rPr>
              <w:tab/>
            </w:r>
            <w:r>
              <w:rPr>
                <w:noProof/>
                <w:webHidden/>
              </w:rPr>
              <w:fldChar w:fldCharType="begin"/>
            </w:r>
            <w:r>
              <w:rPr>
                <w:noProof/>
                <w:webHidden/>
              </w:rPr>
              <w:instrText xml:space="preserve"> PAGEREF _Toc156313812 \h </w:instrText>
            </w:r>
            <w:r>
              <w:rPr>
                <w:noProof/>
                <w:webHidden/>
              </w:rPr>
            </w:r>
            <w:r>
              <w:rPr>
                <w:noProof/>
                <w:webHidden/>
              </w:rPr>
              <w:fldChar w:fldCharType="separate"/>
            </w:r>
            <w:r>
              <w:rPr>
                <w:noProof/>
                <w:webHidden/>
              </w:rPr>
              <w:t>4</w:t>
            </w:r>
            <w:r>
              <w:rPr>
                <w:noProof/>
                <w:webHidden/>
              </w:rPr>
              <w:fldChar w:fldCharType="end"/>
            </w:r>
          </w:hyperlink>
        </w:p>
        <w:p w14:paraId="472F4071" w14:textId="1A4E6C14" w:rsidR="00966F91" w:rsidRDefault="00966F91" w:rsidP="007F2403">
          <w:pPr>
            <w:spacing w:line="276" w:lineRule="auto"/>
          </w:pPr>
          <w:r>
            <w:rPr>
              <w:b/>
              <w:bCs/>
              <w:noProof/>
            </w:rPr>
            <w:fldChar w:fldCharType="end"/>
          </w:r>
        </w:p>
      </w:sdtContent>
    </w:sdt>
    <w:p w14:paraId="231F0C49" w14:textId="77777777" w:rsidR="00966F91" w:rsidRDefault="00966F91" w:rsidP="007F2403">
      <w:pPr>
        <w:spacing w:line="276" w:lineRule="auto"/>
      </w:pPr>
    </w:p>
    <w:p w14:paraId="5CED0BB0" w14:textId="77777777" w:rsidR="00966F91" w:rsidRDefault="00966F91" w:rsidP="007F2403">
      <w:pPr>
        <w:spacing w:line="276" w:lineRule="auto"/>
      </w:pPr>
    </w:p>
    <w:p w14:paraId="6D839A08" w14:textId="77777777" w:rsidR="00966F91" w:rsidRDefault="00966F91" w:rsidP="007F2403">
      <w:pPr>
        <w:spacing w:line="276" w:lineRule="auto"/>
      </w:pPr>
    </w:p>
    <w:p w14:paraId="131F93F6" w14:textId="77777777" w:rsidR="00966F91" w:rsidRDefault="00966F91" w:rsidP="007F2403">
      <w:pPr>
        <w:spacing w:line="276" w:lineRule="auto"/>
      </w:pPr>
    </w:p>
    <w:p w14:paraId="579AEE3E" w14:textId="77777777" w:rsidR="00966F91" w:rsidRDefault="00966F91" w:rsidP="007F2403">
      <w:pPr>
        <w:spacing w:line="276" w:lineRule="auto"/>
      </w:pPr>
    </w:p>
    <w:p w14:paraId="7B1A4DF3" w14:textId="77777777" w:rsidR="00966F91" w:rsidRDefault="00966F91" w:rsidP="007F2403">
      <w:pPr>
        <w:spacing w:line="276" w:lineRule="auto"/>
      </w:pPr>
    </w:p>
    <w:p w14:paraId="38DD62C3" w14:textId="77777777" w:rsidR="00966F91" w:rsidRDefault="00966F91" w:rsidP="007F2403">
      <w:pPr>
        <w:spacing w:line="276" w:lineRule="auto"/>
      </w:pPr>
    </w:p>
    <w:p w14:paraId="43F151D1" w14:textId="77777777" w:rsidR="00966F91" w:rsidRDefault="00966F91" w:rsidP="007F2403">
      <w:pPr>
        <w:spacing w:line="276" w:lineRule="auto"/>
      </w:pPr>
    </w:p>
    <w:p w14:paraId="77259CA9" w14:textId="77777777" w:rsidR="00966F91" w:rsidRDefault="00966F91" w:rsidP="007F2403">
      <w:pPr>
        <w:spacing w:line="276" w:lineRule="auto"/>
      </w:pPr>
    </w:p>
    <w:p w14:paraId="59C56867" w14:textId="77777777" w:rsidR="00966F91" w:rsidRDefault="00966F91" w:rsidP="007F2403">
      <w:pPr>
        <w:spacing w:line="276" w:lineRule="auto"/>
      </w:pPr>
    </w:p>
    <w:p w14:paraId="7CE235A4" w14:textId="77777777" w:rsidR="00966F91" w:rsidRDefault="00966F91" w:rsidP="007F2403">
      <w:pPr>
        <w:spacing w:line="276" w:lineRule="auto"/>
      </w:pPr>
    </w:p>
    <w:p w14:paraId="231B2887" w14:textId="77777777" w:rsidR="00966F91" w:rsidRDefault="00966F91" w:rsidP="007F2403">
      <w:pPr>
        <w:spacing w:line="276" w:lineRule="auto"/>
      </w:pPr>
    </w:p>
    <w:p w14:paraId="5344C470" w14:textId="77777777" w:rsidR="00966F91" w:rsidRDefault="00966F91" w:rsidP="007F2403">
      <w:pPr>
        <w:spacing w:line="276" w:lineRule="auto"/>
      </w:pPr>
    </w:p>
    <w:p w14:paraId="3DB3DE6E" w14:textId="77777777" w:rsidR="00966F91" w:rsidRDefault="00966F91" w:rsidP="007F2403">
      <w:pPr>
        <w:spacing w:line="276" w:lineRule="auto"/>
      </w:pPr>
    </w:p>
    <w:p w14:paraId="2D51A780" w14:textId="77777777" w:rsidR="00966F91" w:rsidRDefault="00966F91" w:rsidP="007F2403">
      <w:pPr>
        <w:spacing w:line="276" w:lineRule="auto"/>
      </w:pPr>
    </w:p>
    <w:p w14:paraId="2CD28819" w14:textId="77777777" w:rsidR="00966F91" w:rsidRDefault="00966F91" w:rsidP="007F2403">
      <w:pPr>
        <w:spacing w:line="276" w:lineRule="auto"/>
      </w:pPr>
    </w:p>
    <w:p w14:paraId="565CC24B" w14:textId="77777777" w:rsidR="00966F91" w:rsidRDefault="00966F91" w:rsidP="007F2403">
      <w:pPr>
        <w:spacing w:line="276" w:lineRule="auto"/>
      </w:pPr>
    </w:p>
    <w:p w14:paraId="6504FF7C" w14:textId="77777777" w:rsidR="00966F91" w:rsidRPr="00966F91" w:rsidRDefault="00966F91" w:rsidP="007F2403">
      <w:pPr>
        <w:spacing w:line="276" w:lineRule="auto"/>
      </w:pPr>
    </w:p>
    <w:p w14:paraId="30F1AC64" w14:textId="1B837E44" w:rsidR="00966F91" w:rsidRDefault="00966F91" w:rsidP="007F2403">
      <w:pPr>
        <w:pStyle w:val="Heading2"/>
        <w:numPr>
          <w:ilvl w:val="0"/>
          <w:numId w:val="7"/>
        </w:numPr>
        <w:spacing w:line="276" w:lineRule="auto"/>
        <w:rPr>
          <w:rFonts w:eastAsiaTheme="minorHAnsi"/>
        </w:rPr>
      </w:pPr>
      <w:bookmarkStart w:id="0" w:name="_Toc156313802"/>
      <w:r w:rsidRPr="00966F91">
        <w:rPr>
          <w:rFonts w:eastAsiaTheme="minorHAnsi"/>
        </w:rPr>
        <w:lastRenderedPageBreak/>
        <w:t>Introduction</w:t>
      </w:r>
      <w:bookmarkEnd w:id="0"/>
    </w:p>
    <w:p w14:paraId="6C93E530" w14:textId="5B1AD50E" w:rsidR="00966F91" w:rsidRDefault="00966F91" w:rsidP="007F2403">
      <w:pPr>
        <w:pStyle w:val="ListParagraph"/>
        <w:spacing w:line="276" w:lineRule="auto"/>
        <w:rPr>
          <w:rFonts w:ascii="Century Gothic" w:hAnsi="Century Gothic"/>
        </w:rPr>
      </w:pPr>
      <w:r w:rsidRPr="00966F91">
        <w:rPr>
          <w:rFonts w:ascii="Century Gothic" w:hAnsi="Century Gothic"/>
        </w:rPr>
        <w:t>This report presents a comprehensive analysis of AtliQ Hardware's Profit and Loss (P&amp;L) statement and market performance over the past three fiscal years</w:t>
      </w:r>
      <w:r w:rsidR="00A21F26">
        <w:rPr>
          <w:rFonts w:ascii="Century Gothic" w:hAnsi="Century Gothic"/>
        </w:rPr>
        <w:t xml:space="preserve"> (2019, 2020, 2021)</w:t>
      </w:r>
      <w:r w:rsidRPr="00966F91">
        <w:rPr>
          <w:rFonts w:ascii="Century Gothic" w:hAnsi="Century Gothic"/>
        </w:rPr>
        <w:t>. The aim is to provide insights into key financial metrics and market trends to guide strategic decision-making.</w:t>
      </w:r>
    </w:p>
    <w:p w14:paraId="085B556C" w14:textId="77777777" w:rsidR="00966F91" w:rsidRDefault="00966F91" w:rsidP="007F2403">
      <w:pPr>
        <w:pStyle w:val="ListParagraph"/>
        <w:spacing w:line="276" w:lineRule="auto"/>
        <w:rPr>
          <w:rFonts w:ascii="Century Gothic" w:hAnsi="Century Gothic"/>
        </w:rPr>
      </w:pPr>
    </w:p>
    <w:p w14:paraId="3367E61A" w14:textId="77777777" w:rsidR="00966F91" w:rsidRDefault="00966F91" w:rsidP="007F2403">
      <w:pPr>
        <w:pStyle w:val="ListParagraph"/>
        <w:spacing w:line="276" w:lineRule="auto"/>
        <w:rPr>
          <w:rFonts w:ascii="Century Gothic" w:hAnsi="Century Gothic"/>
        </w:rPr>
      </w:pPr>
    </w:p>
    <w:p w14:paraId="688753F6" w14:textId="77777777" w:rsidR="00966F91" w:rsidRDefault="00966F91" w:rsidP="007F2403">
      <w:pPr>
        <w:pStyle w:val="ListParagraph"/>
        <w:spacing w:line="276" w:lineRule="auto"/>
        <w:rPr>
          <w:rFonts w:ascii="Century Gothic" w:hAnsi="Century Gothic"/>
        </w:rPr>
      </w:pPr>
    </w:p>
    <w:p w14:paraId="76291BD2" w14:textId="77777777" w:rsidR="00966F91" w:rsidRDefault="00966F91" w:rsidP="007F2403">
      <w:pPr>
        <w:pStyle w:val="ListParagraph"/>
        <w:spacing w:line="276" w:lineRule="auto"/>
        <w:rPr>
          <w:rFonts w:ascii="Century Gothic" w:hAnsi="Century Gothic"/>
        </w:rPr>
      </w:pPr>
    </w:p>
    <w:p w14:paraId="55725F5E" w14:textId="77777777" w:rsidR="00966F91" w:rsidRDefault="00966F91" w:rsidP="007F2403">
      <w:pPr>
        <w:pStyle w:val="ListParagraph"/>
        <w:spacing w:line="276" w:lineRule="auto"/>
        <w:rPr>
          <w:rFonts w:ascii="Century Gothic" w:hAnsi="Century Gothic"/>
        </w:rPr>
      </w:pPr>
    </w:p>
    <w:p w14:paraId="4D7CEB0E" w14:textId="77777777" w:rsidR="00966F91" w:rsidRPr="00966F91" w:rsidRDefault="00966F91" w:rsidP="007F2403">
      <w:pPr>
        <w:pStyle w:val="ListParagraph"/>
        <w:spacing w:line="276" w:lineRule="auto"/>
        <w:rPr>
          <w:rFonts w:ascii="Century Gothic" w:hAnsi="Century Gothic"/>
        </w:rPr>
      </w:pPr>
    </w:p>
    <w:p w14:paraId="426F3C70" w14:textId="77777777" w:rsidR="00966F91" w:rsidRDefault="00966F91" w:rsidP="007F2403">
      <w:pPr>
        <w:pStyle w:val="Heading2"/>
        <w:numPr>
          <w:ilvl w:val="0"/>
          <w:numId w:val="7"/>
        </w:numPr>
        <w:spacing w:line="276" w:lineRule="auto"/>
        <w:rPr>
          <w:rFonts w:eastAsiaTheme="minorHAnsi"/>
        </w:rPr>
      </w:pPr>
      <w:bookmarkStart w:id="1" w:name="_Toc156313803"/>
      <w:r w:rsidRPr="00966F91">
        <w:rPr>
          <w:rFonts w:eastAsiaTheme="minorHAnsi"/>
        </w:rPr>
        <w:t>Key Metrics Analysis</w:t>
      </w:r>
      <w:bookmarkEnd w:id="1"/>
    </w:p>
    <w:p w14:paraId="6E9CDCD4" w14:textId="77777777" w:rsidR="00966F91" w:rsidRDefault="00966F91" w:rsidP="007F2403">
      <w:pPr>
        <w:pStyle w:val="Heading3"/>
        <w:spacing w:line="276" w:lineRule="auto"/>
        <w:ind w:firstLine="720"/>
        <w:rPr>
          <w:rFonts w:eastAsiaTheme="minorHAnsi"/>
        </w:rPr>
      </w:pPr>
      <w:bookmarkStart w:id="2" w:name="_Toc156313804"/>
      <w:r w:rsidRPr="00966F91">
        <w:rPr>
          <w:rFonts w:eastAsiaTheme="minorHAnsi"/>
        </w:rPr>
        <w:t>Net Sales:</w:t>
      </w:r>
      <w:bookmarkEnd w:id="2"/>
    </w:p>
    <w:p w14:paraId="5CE1C524" w14:textId="77777777" w:rsidR="00A21F26" w:rsidRPr="00A21F26" w:rsidRDefault="00A21F26" w:rsidP="007F2403">
      <w:pPr>
        <w:pStyle w:val="ListParagraph"/>
        <w:spacing w:line="276" w:lineRule="auto"/>
        <w:ind w:left="1440"/>
        <w:rPr>
          <w:rFonts w:ascii="Century Gothic" w:hAnsi="Century Gothic"/>
          <w:highlight w:val="green"/>
        </w:rPr>
      </w:pPr>
      <w:r w:rsidRPr="00A21F26">
        <w:rPr>
          <w:rFonts w:ascii="Century Gothic" w:hAnsi="Century Gothic"/>
          <w:highlight w:val="green"/>
        </w:rPr>
        <w:t>2019: $87.5 Million</w:t>
      </w:r>
    </w:p>
    <w:p w14:paraId="5C54D935" w14:textId="77777777" w:rsidR="00A21F26" w:rsidRPr="00A21F26" w:rsidRDefault="00A21F26" w:rsidP="007F2403">
      <w:pPr>
        <w:pStyle w:val="ListParagraph"/>
        <w:spacing w:line="276" w:lineRule="auto"/>
        <w:ind w:left="1440"/>
        <w:rPr>
          <w:rFonts w:ascii="Century Gothic" w:hAnsi="Century Gothic"/>
          <w:highlight w:val="green"/>
        </w:rPr>
      </w:pPr>
      <w:r w:rsidRPr="00A21F26">
        <w:rPr>
          <w:rFonts w:ascii="Century Gothic" w:hAnsi="Century Gothic"/>
          <w:highlight w:val="green"/>
        </w:rPr>
        <w:t>2020: $196.7 Million</w:t>
      </w:r>
    </w:p>
    <w:p w14:paraId="3E1DAC02" w14:textId="77777777" w:rsidR="00A21F26" w:rsidRPr="00A21F26" w:rsidRDefault="00A21F26" w:rsidP="007F2403">
      <w:pPr>
        <w:pStyle w:val="ListParagraph"/>
        <w:spacing w:line="276" w:lineRule="auto"/>
        <w:ind w:left="1440"/>
        <w:rPr>
          <w:rFonts w:ascii="Century Gothic" w:hAnsi="Century Gothic"/>
        </w:rPr>
      </w:pPr>
      <w:r w:rsidRPr="00A21F26">
        <w:rPr>
          <w:rFonts w:ascii="Century Gothic" w:hAnsi="Century Gothic"/>
          <w:highlight w:val="green"/>
        </w:rPr>
        <w:t>2021: $598.9 Million</w:t>
      </w:r>
    </w:p>
    <w:p w14:paraId="6DB0B0AB" w14:textId="77777777" w:rsidR="00A21F26" w:rsidRPr="00A21F26" w:rsidRDefault="00A21F26" w:rsidP="007F2403">
      <w:pPr>
        <w:spacing w:line="276" w:lineRule="auto"/>
      </w:pPr>
    </w:p>
    <w:p w14:paraId="12D09F63" w14:textId="77777777" w:rsidR="00966F91" w:rsidRPr="00966F91" w:rsidRDefault="00966F91" w:rsidP="007F2403">
      <w:pPr>
        <w:pStyle w:val="ListParagraph"/>
        <w:numPr>
          <w:ilvl w:val="0"/>
          <w:numId w:val="9"/>
        </w:numPr>
        <w:spacing w:line="276" w:lineRule="auto"/>
        <w:rPr>
          <w:rFonts w:ascii="Century Gothic" w:hAnsi="Century Gothic"/>
        </w:rPr>
      </w:pPr>
      <w:r w:rsidRPr="00966F91">
        <w:rPr>
          <w:rFonts w:ascii="Century Gothic" w:hAnsi="Century Gothic"/>
        </w:rPr>
        <w:t>Notable growth in Net Sales from 2019 (87.5M) to 2021 (598.9M), showcasing a remarkable increase of 204.5%.</w:t>
      </w:r>
    </w:p>
    <w:p w14:paraId="687F61DE" w14:textId="77777777" w:rsidR="00966F91" w:rsidRDefault="00966F91" w:rsidP="007F2403">
      <w:pPr>
        <w:pStyle w:val="ListParagraph"/>
        <w:numPr>
          <w:ilvl w:val="0"/>
          <w:numId w:val="9"/>
        </w:numPr>
        <w:spacing w:line="276" w:lineRule="auto"/>
        <w:rPr>
          <w:rFonts w:ascii="Century Gothic" w:hAnsi="Century Gothic"/>
        </w:rPr>
      </w:pPr>
      <w:r w:rsidRPr="00966F91">
        <w:rPr>
          <w:rFonts w:ascii="Century Gothic" w:hAnsi="Century Gothic"/>
        </w:rPr>
        <w:t>A detailed breakdown of quarterly Net Sales highlights consistent growth trends.</w:t>
      </w:r>
    </w:p>
    <w:p w14:paraId="0D7EB32A" w14:textId="77777777" w:rsidR="00966F91" w:rsidRPr="00966F91" w:rsidRDefault="00966F91" w:rsidP="007F2403">
      <w:pPr>
        <w:pStyle w:val="ListParagraph"/>
        <w:spacing w:line="276" w:lineRule="auto"/>
        <w:rPr>
          <w:rFonts w:ascii="Century Gothic" w:hAnsi="Century Gothic"/>
        </w:rPr>
      </w:pPr>
    </w:p>
    <w:p w14:paraId="79DA77BB" w14:textId="77777777" w:rsidR="00966F91" w:rsidRDefault="00966F91" w:rsidP="007F2403">
      <w:pPr>
        <w:pStyle w:val="Heading3"/>
        <w:spacing w:line="276" w:lineRule="auto"/>
        <w:ind w:firstLine="720"/>
        <w:rPr>
          <w:rFonts w:eastAsiaTheme="minorHAnsi"/>
        </w:rPr>
      </w:pPr>
      <w:bookmarkStart w:id="3" w:name="_Toc156313805"/>
      <w:r w:rsidRPr="00966F91">
        <w:rPr>
          <w:rFonts w:eastAsiaTheme="minorHAnsi"/>
        </w:rPr>
        <w:t>COGS:</w:t>
      </w:r>
      <w:bookmarkEnd w:id="3"/>
    </w:p>
    <w:p w14:paraId="18F5E985" w14:textId="77777777" w:rsidR="00A21F26" w:rsidRPr="00A21F26" w:rsidRDefault="00A21F26" w:rsidP="007F2403">
      <w:pPr>
        <w:pStyle w:val="ListParagraph"/>
        <w:spacing w:line="276" w:lineRule="auto"/>
        <w:ind w:left="1440"/>
        <w:rPr>
          <w:rFonts w:ascii="Century Gothic" w:hAnsi="Century Gothic"/>
          <w:highlight w:val="yellow"/>
        </w:rPr>
      </w:pPr>
      <w:r w:rsidRPr="00A21F26">
        <w:rPr>
          <w:rFonts w:ascii="Century Gothic" w:hAnsi="Century Gothic"/>
          <w:highlight w:val="yellow"/>
        </w:rPr>
        <w:t>2019: $51.2 Million</w:t>
      </w:r>
    </w:p>
    <w:p w14:paraId="2D0C4465" w14:textId="77777777" w:rsidR="00A21F26" w:rsidRPr="00A21F26" w:rsidRDefault="00A21F26" w:rsidP="007F2403">
      <w:pPr>
        <w:pStyle w:val="ListParagraph"/>
        <w:spacing w:line="276" w:lineRule="auto"/>
        <w:ind w:left="1440"/>
        <w:rPr>
          <w:rFonts w:ascii="Century Gothic" w:hAnsi="Century Gothic"/>
          <w:highlight w:val="yellow"/>
        </w:rPr>
      </w:pPr>
      <w:r w:rsidRPr="00A21F26">
        <w:rPr>
          <w:rFonts w:ascii="Century Gothic" w:hAnsi="Century Gothic"/>
          <w:highlight w:val="yellow"/>
        </w:rPr>
        <w:t>2020: $123.4 Million</w:t>
      </w:r>
    </w:p>
    <w:p w14:paraId="4AA8AF8E" w14:textId="77777777" w:rsidR="00A21F26" w:rsidRPr="00A21F26" w:rsidRDefault="00A21F26" w:rsidP="007F2403">
      <w:pPr>
        <w:pStyle w:val="ListParagraph"/>
        <w:spacing w:line="276" w:lineRule="auto"/>
        <w:ind w:left="1440"/>
        <w:rPr>
          <w:rFonts w:ascii="Century Gothic" w:hAnsi="Century Gothic"/>
          <w:highlight w:val="yellow"/>
        </w:rPr>
      </w:pPr>
      <w:r w:rsidRPr="00A21F26">
        <w:rPr>
          <w:rFonts w:ascii="Century Gothic" w:hAnsi="Century Gothic"/>
          <w:highlight w:val="yellow"/>
        </w:rPr>
        <w:t>2021: $380.7 Million</w:t>
      </w:r>
    </w:p>
    <w:p w14:paraId="4C03B5D8" w14:textId="77777777" w:rsidR="00A21F26" w:rsidRPr="00A21F26" w:rsidRDefault="00A21F26" w:rsidP="007F2403">
      <w:pPr>
        <w:spacing w:line="276" w:lineRule="auto"/>
      </w:pPr>
    </w:p>
    <w:p w14:paraId="4D304B53" w14:textId="77777777" w:rsidR="00966F91" w:rsidRPr="00966F91" w:rsidRDefault="00966F91" w:rsidP="007F2403">
      <w:pPr>
        <w:pStyle w:val="ListParagraph"/>
        <w:numPr>
          <w:ilvl w:val="0"/>
          <w:numId w:val="10"/>
        </w:numPr>
        <w:spacing w:line="276" w:lineRule="auto"/>
        <w:rPr>
          <w:rFonts w:ascii="Century Gothic" w:hAnsi="Century Gothic"/>
        </w:rPr>
      </w:pPr>
      <w:r w:rsidRPr="00966F91">
        <w:rPr>
          <w:rFonts w:ascii="Century Gothic" w:hAnsi="Century Gothic"/>
        </w:rPr>
        <w:t>Corresponding increases in Cost of Goods Sold (COGS) demonstrate a proportional relationship with Net Sales.</w:t>
      </w:r>
    </w:p>
    <w:p w14:paraId="50C69BDF" w14:textId="77777777" w:rsidR="00966F91" w:rsidRDefault="00966F91" w:rsidP="007F2403">
      <w:pPr>
        <w:pStyle w:val="ListParagraph"/>
        <w:numPr>
          <w:ilvl w:val="0"/>
          <w:numId w:val="10"/>
        </w:numPr>
        <w:spacing w:line="276" w:lineRule="auto"/>
        <w:rPr>
          <w:rFonts w:ascii="Century Gothic" w:hAnsi="Century Gothic"/>
        </w:rPr>
      </w:pPr>
      <w:r w:rsidRPr="00966F91">
        <w:rPr>
          <w:rFonts w:ascii="Century Gothic" w:hAnsi="Century Gothic"/>
        </w:rPr>
        <w:t>COGS for 2021 stands at 380.7M, marking a growth of 208.6%.</w:t>
      </w:r>
    </w:p>
    <w:p w14:paraId="7F3F930B" w14:textId="77777777" w:rsidR="00A21F26" w:rsidRDefault="00A21F26" w:rsidP="007F2403">
      <w:pPr>
        <w:spacing w:line="276" w:lineRule="auto"/>
        <w:rPr>
          <w:rFonts w:ascii="Century Gothic" w:hAnsi="Century Gothic"/>
        </w:rPr>
      </w:pPr>
    </w:p>
    <w:p w14:paraId="5AA7B234" w14:textId="77777777" w:rsidR="00A21F26" w:rsidRDefault="00A21F26" w:rsidP="007F2403">
      <w:pPr>
        <w:spacing w:line="276" w:lineRule="auto"/>
        <w:rPr>
          <w:rFonts w:ascii="Century Gothic" w:hAnsi="Century Gothic"/>
        </w:rPr>
      </w:pPr>
    </w:p>
    <w:p w14:paraId="4F372986" w14:textId="77777777" w:rsidR="00A21F26" w:rsidRDefault="00A21F26" w:rsidP="007F2403">
      <w:pPr>
        <w:spacing w:line="276" w:lineRule="auto"/>
        <w:rPr>
          <w:rFonts w:ascii="Century Gothic" w:hAnsi="Century Gothic"/>
        </w:rPr>
      </w:pPr>
    </w:p>
    <w:p w14:paraId="5C1C25B2" w14:textId="77777777" w:rsidR="00A21F26" w:rsidRPr="00A21F26" w:rsidRDefault="00A21F26" w:rsidP="007F2403">
      <w:pPr>
        <w:spacing w:line="276" w:lineRule="auto"/>
        <w:rPr>
          <w:rFonts w:ascii="Century Gothic" w:hAnsi="Century Gothic"/>
        </w:rPr>
      </w:pPr>
    </w:p>
    <w:p w14:paraId="4DE56B38" w14:textId="77777777" w:rsidR="00966F91" w:rsidRPr="00966F91" w:rsidRDefault="00966F91" w:rsidP="007F2403">
      <w:pPr>
        <w:pStyle w:val="ListParagraph"/>
        <w:spacing w:line="276" w:lineRule="auto"/>
        <w:rPr>
          <w:rFonts w:ascii="Century Gothic" w:hAnsi="Century Gothic"/>
        </w:rPr>
      </w:pPr>
    </w:p>
    <w:p w14:paraId="3C1A1033" w14:textId="77777777" w:rsidR="00A21F26" w:rsidRDefault="00966F91" w:rsidP="007F2403">
      <w:pPr>
        <w:pStyle w:val="Heading3"/>
        <w:spacing w:line="276" w:lineRule="auto"/>
        <w:ind w:firstLine="720"/>
        <w:rPr>
          <w:rFonts w:eastAsiaTheme="minorHAnsi"/>
        </w:rPr>
      </w:pPr>
      <w:bookmarkStart w:id="4" w:name="_Toc156313806"/>
      <w:r w:rsidRPr="00966F91">
        <w:rPr>
          <w:rFonts w:eastAsiaTheme="minorHAnsi"/>
        </w:rPr>
        <w:t>Gross Margin</w:t>
      </w:r>
      <w:bookmarkEnd w:id="4"/>
    </w:p>
    <w:p w14:paraId="6745F971" w14:textId="77777777" w:rsidR="00A21F26" w:rsidRPr="00A21F26" w:rsidRDefault="00A21F26" w:rsidP="007F2403">
      <w:pPr>
        <w:pStyle w:val="ListParagraph"/>
        <w:spacing w:line="276" w:lineRule="auto"/>
        <w:ind w:left="1440"/>
        <w:rPr>
          <w:rFonts w:ascii="Century Gothic" w:hAnsi="Century Gothic"/>
          <w:color w:val="275317" w:themeColor="accent6" w:themeShade="80"/>
        </w:rPr>
      </w:pPr>
      <w:r w:rsidRPr="00A21F26">
        <w:rPr>
          <w:rFonts w:ascii="Century Gothic" w:hAnsi="Century Gothic"/>
          <w:color w:val="275317" w:themeColor="accent6" w:themeShade="80"/>
        </w:rPr>
        <w:t>2019: $36.2 Million</w:t>
      </w:r>
    </w:p>
    <w:p w14:paraId="027F4B28" w14:textId="77777777" w:rsidR="00A21F26" w:rsidRPr="00A21F26" w:rsidRDefault="00A21F26" w:rsidP="007F2403">
      <w:pPr>
        <w:pStyle w:val="ListParagraph"/>
        <w:spacing w:line="276" w:lineRule="auto"/>
        <w:ind w:left="1440"/>
        <w:rPr>
          <w:rFonts w:ascii="Century Gothic" w:hAnsi="Century Gothic"/>
          <w:color w:val="275317" w:themeColor="accent6" w:themeShade="80"/>
        </w:rPr>
      </w:pPr>
      <w:r w:rsidRPr="00A21F26">
        <w:rPr>
          <w:rFonts w:ascii="Century Gothic" w:hAnsi="Century Gothic"/>
          <w:color w:val="275317" w:themeColor="accent6" w:themeShade="80"/>
        </w:rPr>
        <w:t>2020: $73.3 Million</w:t>
      </w:r>
    </w:p>
    <w:p w14:paraId="6872EE9B" w14:textId="77777777" w:rsidR="00A21F26" w:rsidRPr="00A21F26" w:rsidRDefault="00A21F26" w:rsidP="007F2403">
      <w:pPr>
        <w:pStyle w:val="ListParagraph"/>
        <w:spacing w:line="276" w:lineRule="auto"/>
        <w:ind w:left="1440"/>
        <w:rPr>
          <w:rFonts w:ascii="Century Gothic" w:hAnsi="Century Gothic"/>
          <w:color w:val="275317" w:themeColor="accent6" w:themeShade="80"/>
        </w:rPr>
      </w:pPr>
      <w:r w:rsidRPr="00A21F26">
        <w:rPr>
          <w:rFonts w:ascii="Century Gothic" w:hAnsi="Century Gothic"/>
          <w:color w:val="275317" w:themeColor="accent6" w:themeShade="80"/>
        </w:rPr>
        <w:lastRenderedPageBreak/>
        <w:t>2021: $218.2 Million</w:t>
      </w:r>
    </w:p>
    <w:p w14:paraId="213289C9" w14:textId="77777777" w:rsidR="00A21F26" w:rsidRDefault="00A21F26" w:rsidP="007F2403">
      <w:pPr>
        <w:pStyle w:val="ListParagraph"/>
        <w:spacing w:line="276" w:lineRule="auto"/>
        <w:ind w:left="1440"/>
        <w:rPr>
          <w:rFonts w:ascii="Century Gothic" w:hAnsi="Century Gothic"/>
          <w:highlight w:val="yellow"/>
        </w:rPr>
      </w:pPr>
    </w:p>
    <w:p w14:paraId="60B8EFF4" w14:textId="77777777" w:rsidR="00A21F26" w:rsidRPr="00966F91" w:rsidRDefault="00A21F26" w:rsidP="007F2403">
      <w:pPr>
        <w:pStyle w:val="ListParagraph"/>
        <w:numPr>
          <w:ilvl w:val="0"/>
          <w:numId w:val="11"/>
        </w:numPr>
        <w:spacing w:line="276" w:lineRule="auto"/>
        <w:rPr>
          <w:rFonts w:ascii="Century Gothic" w:hAnsi="Century Gothic"/>
        </w:rPr>
      </w:pPr>
      <w:r w:rsidRPr="00966F91">
        <w:rPr>
          <w:rFonts w:ascii="Century Gothic" w:hAnsi="Century Gothic"/>
        </w:rPr>
        <w:t>Gross Margin increases from 36.2M in 2019 to 218.2M in 2021.</w:t>
      </w:r>
    </w:p>
    <w:p w14:paraId="0343F274" w14:textId="77777777" w:rsidR="00A21F26" w:rsidRDefault="00A21F26" w:rsidP="007F2403">
      <w:pPr>
        <w:pStyle w:val="ListParagraph"/>
        <w:spacing w:line="276" w:lineRule="auto"/>
        <w:ind w:left="1440"/>
        <w:rPr>
          <w:rFonts w:ascii="Century Gothic" w:hAnsi="Century Gothic"/>
          <w:highlight w:val="yellow"/>
        </w:rPr>
      </w:pPr>
    </w:p>
    <w:p w14:paraId="0A4B673B" w14:textId="179B6B81" w:rsidR="00A21F26" w:rsidRDefault="00A21F26" w:rsidP="007F2403">
      <w:pPr>
        <w:pStyle w:val="Heading3"/>
        <w:spacing w:line="276" w:lineRule="auto"/>
        <w:ind w:firstLine="720"/>
        <w:rPr>
          <w:rFonts w:eastAsiaTheme="minorHAnsi"/>
        </w:rPr>
      </w:pPr>
    </w:p>
    <w:p w14:paraId="6E56A95A" w14:textId="7B1907B9" w:rsidR="00966F91" w:rsidRDefault="00966F91" w:rsidP="007F2403">
      <w:pPr>
        <w:pStyle w:val="Heading3"/>
        <w:spacing w:line="276" w:lineRule="auto"/>
        <w:ind w:firstLine="720"/>
        <w:rPr>
          <w:rFonts w:eastAsiaTheme="minorHAnsi"/>
        </w:rPr>
      </w:pPr>
      <w:bookmarkStart w:id="5" w:name="_Toc156313807"/>
      <w:r w:rsidRPr="00966F91">
        <w:rPr>
          <w:rFonts w:eastAsiaTheme="minorHAnsi"/>
        </w:rPr>
        <w:t>GM%</w:t>
      </w:r>
      <w:bookmarkEnd w:id="5"/>
    </w:p>
    <w:p w14:paraId="0B306B22" w14:textId="77777777" w:rsidR="00A21F26" w:rsidRPr="00A21F26" w:rsidRDefault="00A21F26" w:rsidP="007F2403">
      <w:pPr>
        <w:pStyle w:val="ListParagraph"/>
        <w:spacing w:line="276" w:lineRule="auto"/>
        <w:ind w:left="1440"/>
        <w:rPr>
          <w:rFonts w:ascii="Century Gothic" w:hAnsi="Century Gothic"/>
          <w:color w:val="0070C0"/>
        </w:rPr>
      </w:pPr>
      <w:r w:rsidRPr="00A21F26">
        <w:rPr>
          <w:rFonts w:ascii="Century Gothic" w:hAnsi="Century Gothic"/>
          <w:color w:val="0070C0"/>
        </w:rPr>
        <w:t>2019: 41.4%</w:t>
      </w:r>
    </w:p>
    <w:p w14:paraId="5B8AA4E8" w14:textId="77777777" w:rsidR="00A21F26" w:rsidRPr="00A21F26" w:rsidRDefault="00A21F26" w:rsidP="007F2403">
      <w:pPr>
        <w:pStyle w:val="ListParagraph"/>
        <w:spacing w:line="276" w:lineRule="auto"/>
        <w:ind w:left="1440"/>
        <w:rPr>
          <w:rFonts w:ascii="Century Gothic" w:hAnsi="Century Gothic"/>
          <w:color w:val="0070C0"/>
        </w:rPr>
      </w:pPr>
      <w:r w:rsidRPr="00A21F26">
        <w:rPr>
          <w:rFonts w:ascii="Century Gothic" w:hAnsi="Century Gothic"/>
          <w:color w:val="0070C0"/>
        </w:rPr>
        <w:t>2020: 37.3%</w:t>
      </w:r>
    </w:p>
    <w:p w14:paraId="43AFD09D" w14:textId="2ADCA79B" w:rsidR="00A21F26" w:rsidRPr="00A21F26" w:rsidRDefault="00A21F26" w:rsidP="007F2403">
      <w:pPr>
        <w:pStyle w:val="ListParagraph"/>
        <w:spacing w:line="276" w:lineRule="auto"/>
        <w:ind w:left="1440"/>
        <w:rPr>
          <w:rFonts w:ascii="Century Gothic" w:hAnsi="Century Gothic"/>
          <w:color w:val="0070C0"/>
        </w:rPr>
      </w:pPr>
      <w:r w:rsidRPr="00A21F26">
        <w:rPr>
          <w:rFonts w:ascii="Century Gothic" w:hAnsi="Century Gothic"/>
          <w:color w:val="0070C0"/>
        </w:rPr>
        <w:t>2021: 36.4%</w:t>
      </w:r>
    </w:p>
    <w:p w14:paraId="78C43114" w14:textId="77777777" w:rsidR="00A21F26" w:rsidRPr="00A21F26" w:rsidRDefault="00A21F26" w:rsidP="007F2403">
      <w:pPr>
        <w:pStyle w:val="ListParagraph"/>
        <w:spacing w:line="276" w:lineRule="auto"/>
        <w:ind w:left="1440"/>
        <w:rPr>
          <w:rFonts w:ascii="Century Gothic" w:hAnsi="Century Gothic"/>
          <w:highlight w:val="yellow"/>
        </w:rPr>
      </w:pPr>
    </w:p>
    <w:p w14:paraId="158D4BBC" w14:textId="77777777" w:rsidR="00966F91" w:rsidRPr="00966F91" w:rsidRDefault="00966F91" w:rsidP="007F2403">
      <w:pPr>
        <w:pStyle w:val="ListParagraph"/>
        <w:numPr>
          <w:ilvl w:val="0"/>
          <w:numId w:val="11"/>
        </w:numPr>
        <w:spacing w:line="276" w:lineRule="auto"/>
        <w:rPr>
          <w:rFonts w:ascii="Century Gothic" w:hAnsi="Century Gothic"/>
        </w:rPr>
      </w:pPr>
      <w:r w:rsidRPr="00966F91">
        <w:rPr>
          <w:rFonts w:ascii="Century Gothic" w:hAnsi="Century Gothic"/>
        </w:rPr>
        <w:t>GM% experiences a slight decrease from 41.4% to 36.4%, indicating the need for further optimization.</w:t>
      </w:r>
    </w:p>
    <w:p w14:paraId="73FEB4D0" w14:textId="77777777" w:rsidR="00966F91" w:rsidRDefault="00966F91" w:rsidP="007F2403">
      <w:pPr>
        <w:spacing w:line="276" w:lineRule="auto"/>
      </w:pPr>
    </w:p>
    <w:p w14:paraId="7379D84F" w14:textId="77777777" w:rsidR="00966F91" w:rsidRDefault="00966F91" w:rsidP="007F2403">
      <w:pPr>
        <w:spacing w:line="276" w:lineRule="auto"/>
      </w:pPr>
    </w:p>
    <w:p w14:paraId="4EA92345" w14:textId="77777777" w:rsidR="00966F91" w:rsidRPr="00966F91" w:rsidRDefault="00966F91" w:rsidP="007F2403">
      <w:pPr>
        <w:spacing w:line="276" w:lineRule="auto"/>
      </w:pPr>
    </w:p>
    <w:p w14:paraId="0665B5BD" w14:textId="77777777" w:rsidR="00A21F26" w:rsidRDefault="00966F91" w:rsidP="007F2403">
      <w:pPr>
        <w:pStyle w:val="Heading2"/>
        <w:numPr>
          <w:ilvl w:val="0"/>
          <w:numId w:val="7"/>
        </w:numPr>
        <w:spacing w:line="276" w:lineRule="auto"/>
        <w:rPr>
          <w:rFonts w:eastAsiaTheme="minorHAnsi"/>
        </w:rPr>
      </w:pPr>
      <w:bookmarkStart w:id="6" w:name="_Toc156313808"/>
      <w:r w:rsidRPr="00966F91">
        <w:rPr>
          <w:rFonts w:eastAsiaTheme="minorHAnsi"/>
        </w:rPr>
        <w:t>Market Performance</w:t>
      </w:r>
      <w:bookmarkEnd w:id="6"/>
    </w:p>
    <w:p w14:paraId="5F24CFF2" w14:textId="6893BA79" w:rsidR="00966F91" w:rsidRDefault="00966F91" w:rsidP="007F2403">
      <w:pPr>
        <w:pStyle w:val="Heading3"/>
        <w:spacing w:line="276" w:lineRule="auto"/>
        <w:ind w:firstLine="720"/>
        <w:rPr>
          <w:rFonts w:eastAsiaTheme="minorHAnsi"/>
        </w:rPr>
      </w:pPr>
      <w:bookmarkStart w:id="7" w:name="_Toc156313809"/>
      <w:r w:rsidRPr="00A21F26">
        <w:rPr>
          <w:rFonts w:eastAsiaTheme="minorHAnsi"/>
        </w:rPr>
        <w:t>Customer-wise Performance in 2019, 2020, and 2021</w:t>
      </w:r>
      <w:bookmarkEnd w:id="7"/>
    </w:p>
    <w:p w14:paraId="409C1FC6" w14:textId="77777777" w:rsidR="00A21F26" w:rsidRPr="00966F91" w:rsidRDefault="00A21F26" w:rsidP="007F2403">
      <w:pPr>
        <w:pStyle w:val="ListParagraph"/>
        <w:numPr>
          <w:ilvl w:val="0"/>
          <w:numId w:val="8"/>
        </w:numPr>
        <w:spacing w:line="276" w:lineRule="auto"/>
        <w:rPr>
          <w:rFonts w:ascii="Century Gothic" w:hAnsi="Century Gothic"/>
        </w:rPr>
      </w:pPr>
      <w:r w:rsidRPr="00966F91">
        <w:rPr>
          <w:rFonts w:ascii="Century Gothic" w:hAnsi="Century Gothic"/>
        </w:rPr>
        <w:t>Australia, Canada, China, and India exhibit substantial growth in Net Sales, contributing significantly to the Grand Total.</w:t>
      </w:r>
    </w:p>
    <w:p w14:paraId="407BC207" w14:textId="77777777" w:rsidR="00A21F26" w:rsidRPr="00966F91" w:rsidRDefault="00A21F26" w:rsidP="007F2403">
      <w:pPr>
        <w:pStyle w:val="ListParagraph"/>
        <w:numPr>
          <w:ilvl w:val="0"/>
          <w:numId w:val="8"/>
        </w:numPr>
        <w:spacing w:line="276" w:lineRule="auto"/>
        <w:rPr>
          <w:rFonts w:ascii="Century Gothic" w:hAnsi="Century Gothic"/>
        </w:rPr>
      </w:pPr>
      <w:r w:rsidRPr="00966F91">
        <w:rPr>
          <w:rFonts w:ascii="Century Gothic" w:hAnsi="Century Gothic"/>
        </w:rPr>
        <w:t>An overall increase in Net Sales is observed across all customers.</w:t>
      </w:r>
    </w:p>
    <w:p w14:paraId="6C3F2EC3" w14:textId="77777777" w:rsidR="00F727EC" w:rsidRPr="00F727EC" w:rsidRDefault="00F727EC" w:rsidP="007F2403">
      <w:pPr>
        <w:spacing w:line="276" w:lineRule="auto"/>
        <w:jc w:val="center"/>
        <w:rPr>
          <w:rFonts w:ascii="Century Gothic" w:hAnsi="Century Gothic"/>
          <w:b/>
          <w:bCs/>
        </w:rPr>
      </w:pPr>
      <w:r w:rsidRPr="00F727EC">
        <w:rPr>
          <w:rFonts w:ascii="Century Gothic" w:hAnsi="Century Gothic"/>
          <w:b/>
          <w:bCs/>
        </w:rPr>
        <w:t>Australia:</w:t>
      </w:r>
    </w:p>
    <w:p w14:paraId="4EF1E274" w14:textId="77777777" w:rsidR="00F727EC" w:rsidRPr="00F727EC" w:rsidRDefault="00F727EC" w:rsidP="007F2403">
      <w:pPr>
        <w:spacing w:line="276" w:lineRule="auto"/>
        <w:jc w:val="center"/>
        <w:rPr>
          <w:rFonts w:ascii="Century Gothic" w:hAnsi="Century Gothic"/>
        </w:rPr>
      </w:pPr>
      <w:r w:rsidRPr="00F727EC">
        <w:rPr>
          <w:rFonts w:ascii="Century Gothic" w:hAnsi="Century Gothic"/>
        </w:rPr>
        <w:t>2019: $3.9 Million</w:t>
      </w:r>
    </w:p>
    <w:p w14:paraId="30896079" w14:textId="77777777" w:rsidR="00F727EC" w:rsidRPr="00F727EC" w:rsidRDefault="00F727EC" w:rsidP="007F2403">
      <w:pPr>
        <w:spacing w:line="276" w:lineRule="auto"/>
        <w:jc w:val="center"/>
        <w:rPr>
          <w:rFonts w:ascii="Century Gothic" w:hAnsi="Century Gothic"/>
        </w:rPr>
      </w:pPr>
      <w:r w:rsidRPr="00F727EC">
        <w:rPr>
          <w:rFonts w:ascii="Century Gothic" w:hAnsi="Century Gothic"/>
        </w:rPr>
        <w:t>2020: $10.7 Million</w:t>
      </w:r>
    </w:p>
    <w:p w14:paraId="2146BDC1" w14:textId="77777777" w:rsidR="00F727EC" w:rsidRPr="00F727EC" w:rsidRDefault="00F727EC" w:rsidP="007F2403">
      <w:pPr>
        <w:spacing w:line="276" w:lineRule="auto"/>
        <w:jc w:val="center"/>
        <w:rPr>
          <w:rFonts w:ascii="Century Gothic" w:hAnsi="Century Gothic"/>
        </w:rPr>
      </w:pPr>
      <w:r w:rsidRPr="00F727EC">
        <w:rPr>
          <w:rFonts w:ascii="Century Gothic" w:hAnsi="Century Gothic"/>
        </w:rPr>
        <w:t>2021: $21.0 Million</w:t>
      </w:r>
    </w:p>
    <w:p w14:paraId="31EA46A4" w14:textId="77777777" w:rsidR="00F727EC" w:rsidRPr="00F727EC" w:rsidRDefault="00F727EC" w:rsidP="007F2403">
      <w:pPr>
        <w:pStyle w:val="ListParagraph"/>
        <w:spacing w:line="276" w:lineRule="auto"/>
        <w:jc w:val="center"/>
        <w:rPr>
          <w:rFonts w:ascii="Century Gothic" w:hAnsi="Century Gothic"/>
          <w:b/>
          <w:bCs/>
        </w:rPr>
      </w:pPr>
      <w:r w:rsidRPr="00F727EC">
        <w:rPr>
          <w:rFonts w:ascii="Century Gothic" w:hAnsi="Century Gothic"/>
          <w:b/>
          <w:bCs/>
        </w:rPr>
        <w:t>Canada:</w:t>
      </w:r>
    </w:p>
    <w:p w14:paraId="03A4DDE5" w14:textId="77777777" w:rsidR="00F727EC" w:rsidRPr="00F727EC" w:rsidRDefault="00F727EC" w:rsidP="007F2403">
      <w:pPr>
        <w:pStyle w:val="ListParagraph"/>
        <w:spacing w:line="276" w:lineRule="auto"/>
        <w:jc w:val="center"/>
        <w:rPr>
          <w:rFonts w:ascii="Century Gothic" w:hAnsi="Century Gothic"/>
        </w:rPr>
      </w:pPr>
      <w:r w:rsidRPr="00F727EC">
        <w:rPr>
          <w:rFonts w:ascii="Century Gothic" w:hAnsi="Century Gothic"/>
        </w:rPr>
        <w:t>2019: $4.8 Million</w:t>
      </w:r>
    </w:p>
    <w:p w14:paraId="66E14546" w14:textId="77777777" w:rsidR="00F727EC" w:rsidRPr="00F727EC" w:rsidRDefault="00F727EC" w:rsidP="007F2403">
      <w:pPr>
        <w:pStyle w:val="ListParagraph"/>
        <w:spacing w:line="276" w:lineRule="auto"/>
        <w:jc w:val="center"/>
        <w:rPr>
          <w:rFonts w:ascii="Century Gothic" w:hAnsi="Century Gothic"/>
        </w:rPr>
      </w:pPr>
      <w:r w:rsidRPr="00F727EC">
        <w:rPr>
          <w:rFonts w:ascii="Century Gothic" w:hAnsi="Century Gothic"/>
        </w:rPr>
        <w:t>2020: $12.2 Million</w:t>
      </w:r>
    </w:p>
    <w:p w14:paraId="6B2B7946" w14:textId="77777777" w:rsidR="00F727EC" w:rsidRDefault="00F727EC" w:rsidP="007F2403">
      <w:pPr>
        <w:pStyle w:val="ListParagraph"/>
        <w:spacing w:line="276" w:lineRule="auto"/>
        <w:jc w:val="center"/>
        <w:rPr>
          <w:rFonts w:ascii="Century Gothic" w:hAnsi="Century Gothic"/>
        </w:rPr>
      </w:pPr>
      <w:r w:rsidRPr="00F727EC">
        <w:rPr>
          <w:rFonts w:ascii="Century Gothic" w:hAnsi="Century Gothic"/>
        </w:rPr>
        <w:t>2021: $35.1 Million</w:t>
      </w:r>
    </w:p>
    <w:p w14:paraId="6B1020FE" w14:textId="77777777" w:rsidR="00F727EC" w:rsidRPr="00F727EC" w:rsidRDefault="00F727EC" w:rsidP="007F2403">
      <w:pPr>
        <w:pStyle w:val="ListParagraph"/>
        <w:spacing w:line="276" w:lineRule="auto"/>
        <w:jc w:val="center"/>
        <w:rPr>
          <w:rFonts w:ascii="Century Gothic" w:hAnsi="Century Gothic"/>
        </w:rPr>
      </w:pPr>
    </w:p>
    <w:p w14:paraId="7DD87361" w14:textId="77777777" w:rsidR="00F727EC" w:rsidRPr="00F727EC" w:rsidRDefault="00F727EC" w:rsidP="007F2403">
      <w:pPr>
        <w:pStyle w:val="ListParagraph"/>
        <w:spacing w:line="276" w:lineRule="auto"/>
        <w:jc w:val="center"/>
        <w:rPr>
          <w:rFonts w:ascii="Century Gothic" w:hAnsi="Century Gothic"/>
        </w:rPr>
      </w:pPr>
      <w:r w:rsidRPr="00F727EC">
        <w:rPr>
          <w:rFonts w:ascii="Century Gothic" w:hAnsi="Century Gothic"/>
          <w:highlight w:val="yellow"/>
        </w:rPr>
        <w:t>(Similar breakdowns for other countries are available.)</w:t>
      </w:r>
    </w:p>
    <w:p w14:paraId="5A6361BB" w14:textId="77777777" w:rsidR="00A21F26" w:rsidRPr="00A21F26" w:rsidRDefault="00A21F26" w:rsidP="007F2403">
      <w:pPr>
        <w:spacing w:line="276" w:lineRule="auto"/>
      </w:pPr>
    </w:p>
    <w:p w14:paraId="01A1BAB7" w14:textId="77777777" w:rsidR="00966F91" w:rsidRPr="00966F91" w:rsidRDefault="00966F91" w:rsidP="007F2403">
      <w:pPr>
        <w:spacing w:line="276" w:lineRule="auto"/>
      </w:pPr>
    </w:p>
    <w:p w14:paraId="224A51A8" w14:textId="7C0274FA" w:rsidR="00966F91" w:rsidRDefault="00966F91" w:rsidP="007F2403">
      <w:pPr>
        <w:pStyle w:val="Heading3"/>
        <w:spacing w:line="276" w:lineRule="auto"/>
        <w:ind w:firstLine="720"/>
        <w:rPr>
          <w:rFonts w:eastAsiaTheme="minorHAnsi"/>
        </w:rPr>
      </w:pPr>
      <w:bookmarkStart w:id="8" w:name="_Toc156313810"/>
      <w:r w:rsidRPr="00966F91">
        <w:rPr>
          <w:rFonts w:eastAsiaTheme="minorHAnsi"/>
        </w:rPr>
        <w:t>Quarterly Financial Performance</w:t>
      </w:r>
      <w:r w:rsidR="00A21F26">
        <w:rPr>
          <w:rFonts w:eastAsiaTheme="minorHAnsi"/>
        </w:rPr>
        <w:t xml:space="preserve"> (2019-2021)</w:t>
      </w:r>
      <w:bookmarkEnd w:id="8"/>
    </w:p>
    <w:p w14:paraId="339C3A9E" w14:textId="77777777" w:rsidR="00A21F26" w:rsidRPr="00966F91" w:rsidRDefault="00A21F26" w:rsidP="007F2403">
      <w:pPr>
        <w:pStyle w:val="ListParagraph"/>
        <w:numPr>
          <w:ilvl w:val="0"/>
          <w:numId w:val="12"/>
        </w:numPr>
        <w:spacing w:line="276" w:lineRule="auto"/>
        <w:rPr>
          <w:rFonts w:ascii="Century Gothic" w:hAnsi="Century Gothic"/>
        </w:rPr>
      </w:pPr>
      <w:r w:rsidRPr="00966F91">
        <w:rPr>
          <w:rFonts w:ascii="Century Gothic" w:hAnsi="Century Gothic"/>
        </w:rPr>
        <w:t>Detailed quarterly breakdowns for Net Sales, COGS, Gross Margin, and GM% provide insights into seasonal variations.</w:t>
      </w:r>
    </w:p>
    <w:p w14:paraId="0B81A00F" w14:textId="77777777" w:rsidR="00A21F26" w:rsidRDefault="00A21F26" w:rsidP="007F2403">
      <w:pPr>
        <w:pStyle w:val="ListParagraph"/>
        <w:numPr>
          <w:ilvl w:val="0"/>
          <w:numId w:val="12"/>
        </w:numPr>
        <w:spacing w:line="276" w:lineRule="auto"/>
        <w:rPr>
          <w:rFonts w:ascii="Century Gothic" w:hAnsi="Century Gothic"/>
        </w:rPr>
      </w:pPr>
      <w:r w:rsidRPr="00966F91">
        <w:rPr>
          <w:rFonts w:ascii="Century Gothic" w:hAnsi="Century Gothic"/>
        </w:rPr>
        <w:t>Consistent growth is evident, with occasional fluctuations in Gross Margin and GM%.</w:t>
      </w:r>
    </w:p>
    <w:p w14:paraId="13A78368" w14:textId="77777777" w:rsidR="00F727EC" w:rsidRPr="00F727EC" w:rsidRDefault="00F727EC" w:rsidP="007F2403">
      <w:pPr>
        <w:pStyle w:val="ListParagraph"/>
        <w:spacing w:line="276" w:lineRule="auto"/>
        <w:jc w:val="center"/>
        <w:rPr>
          <w:rFonts w:ascii="Century Gothic" w:hAnsi="Century Gothic"/>
        </w:rPr>
      </w:pPr>
      <w:r w:rsidRPr="00F727EC">
        <w:rPr>
          <w:rFonts w:ascii="Century Gothic" w:hAnsi="Century Gothic"/>
          <w:b/>
          <w:bCs/>
        </w:rPr>
        <w:t>Q1 2019:</w:t>
      </w:r>
    </w:p>
    <w:p w14:paraId="1C68F730" w14:textId="77777777" w:rsidR="00F727EC" w:rsidRPr="00F727EC" w:rsidRDefault="00F727EC" w:rsidP="007F2403">
      <w:pPr>
        <w:pStyle w:val="ListParagraph"/>
        <w:spacing w:line="276" w:lineRule="auto"/>
        <w:jc w:val="center"/>
        <w:rPr>
          <w:rFonts w:ascii="Century Gothic" w:hAnsi="Century Gothic"/>
        </w:rPr>
      </w:pPr>
      <w:r w:rsidRPr="00F727EC">
        <w:rPr>
          <w:rFonts w:ascii="Century Gothic" w:hAnsi="Century Gothic"/>
          <w:b/>
          <w:bCs/>
        </w:rPr>
        <w:lastRenderedPageBreak/>
        <w:t>Net Sales: $6.5 Million</w:t>
      </w:r>
    </w:p>
    <w:p w14:paraId="01DFAE14" w14:textId="77777777" w:rsidR="00F727EC" w:rsidRPr="00F727EC" w:rsidRDefault="00F727EC" w:rsidP="007F2403">
      <w:pPr>
        <w:pStyle w:val="ListParagraph"/>
        <w:spacing w:line="276" w:lineRule="auto"/>
        <w:jc w:val="center"/>
        <w:rPr>
          <w:rFonts w:ascii="Century Gothic" w:hAnsi="Century Gothic"/>
        </w:rPr>
      </w:pPr>
      <w:r w:rsidRPr="00F727EC">
        <w:rPr>
          <w:rFonts w:ascii="Century Gothic" w:hAnsi="Century Gothic"/>
          <w:b/>
          <w:bCs/>
        </w:rPr>
        <w:t>COGS: $3.8 Million</w:t>
      </w:r>
    </w:p>
    <w:p w14:paraId="7D25ED3C" w14:textId="77777777" w:rsidR="00F727EC" w:rsidRPr="00F727EC" w:rsidRDefault="00F727EC" w:rsidP="007F2403">
      <w:pPr>
        <w:pStyle w:val="ListParagraph"/>
        <w:spacing w:line="276" w:lineRule="auto"/>
        <w:jc w:val="center"/>
        <w:rPr>
          <w:rFonts w:ascii="Century Gothic" w:hAnsi="Century Gothic"/>
        </w:rPr>
      </w:pPr>
      <w:r w:rsidRPr="00F727EC">
        <w:rPr>
          <w:rFonts w:ascii="Century Gothic" w:hAnsi="Century Gothic"/>
          <w:b/>
          <w:bCs/>
        </w:rPr>
        <w:t>Gross Margin: $2.6 Million</w:t>
      </w:r>
    </w:p>
    <w:p w14:paraId="330B0AF0" w14:textId="77777777" w:rsidR="00F727EC" w:rsidRPr="00F727EC" w:rsidRDefault="00F727EC" w:rsidP="007F2403">
      <w:pPr>
        <w:pStyle w:val="ListParagraph"/>
        <w:spacing w:line="276" w:lineRule="auto"/>
        <w:jc w:val="center"/>
        <w:rPr>
          <w:rFonts w:ascii="Century Gothic" w:hAnsi="Century Gothic"/>
        </w:rPr>
      </w:pPr>
      <w:r w:rsidRPr="00F727EC">
        <w:rPr>
          <w:rFonts w:ascii="Century Gothic" w:hAnsi="Century Gothic"/>
          <w:b/>
          <w:bCs/>
        </w:rPr>
        <w:t>GM%: 40.9%</w:t>
      </w:r>
    </w:p>
    <w:p w14:paraId="49AF7892" w14:textId="77777777" w:rsidR="00F727EC" w:rsidRDefault="00F727EC" w:rsidP="007F2403">
      <w:pPr>
        <w:pStyle w:val="ListParagraph"/>
        <w:spacing w:line="276" w:lineRule="auto"/>
        <w:rPr>
          <w:rFonts w:ascii="Century Gothic" w:hAnsi="Century Gothic"/>
          <w:i/>
          <w:iCs/>
        </w:rPr>
      </w:pPr>
      <w:r w:rsidRPr="00F727EC">
        <w:rPr>
          <w:rFonts w:ascii="Century Gothic" w:hAnsi="Century Gothic"/>
          <w:i/>
          <w:iCs/>
        </w:rPr>
        <w:t>(Similar breakdowns for other quarters and years are available.)</w:t>
      </w:r>
    </w:p>
    <w:p w14:paraId="4DAB49F3" w14:textId="77777777" w:rsidR="00F727EC" w:rsidRPr="00F727EC" w:rsidRDefault="00F727EC" w:rsidP="007F2403">
      <w:pPr>
        <w:spacing w:line="276" w:lineRule="auto"/>
        <w:rPr>
          <w:rFonts w:ascii="Century Gothic" w:hAnsi="Century Gothic"/>
        </w:rPr>
      </w:pPr>
    </w:p>
    <w:p w14:paraId="546EA426" w14:textId="77777777" w:rsidR="00A21F26" w:rsidRPr="00A21F26" w:rsidRDefault="00A21F26" w:rsidP="007F2403">
      <w:pPr>
        <w:spacing w:line="276" w:lineRule="auto"/>
      </w:pPr>
    </w:p>
    <w:p w14:paraId="535E59CD" w14:textId="77777777" w:rsidR="00966F91" w:rsidRDefault="00966F91" w:rsidP="007F2403">
      <w:pPr>
        <w:pStyle w:val="Heading2"/>
        <w:numPr>
          <w:ilvl w:val="0"/>
          <w:numId w:val="7"/>
        </w:numPr>
        <w:spacing w:line="276" w:lineRule="auto"/>
        <w:rPr>
          <w:rFonts w:eastAsiaTheme="minorHAnsi"/>
        </w:rPr>
      </w:pPr>
      <w:bookmarkStart w:id="9" w:name="_Toc156313811"/>
      <w:r w:rsidRPr="00966F91">
        <w:rPr>
          <w:rFonts w:eastAsiaTheme="minorHAnsi"/>
        </w:rPr>
        <w:t>Percentage comparison of Net Sales from 2020 to 2021 and 2021 to 2019</w:t>
      </w:r>
      <w:bookmarkEnd w:id="9"/>
    </w:p>
    <w:p w14:paraId="665E1B21" w14:textId="77777777" w:rsidR="00A21F26" w:rsidRPr="00A21F26" w:rsidRDefault="00A21F26" w:rsidP="007F2403">
      <w:pPr>
        <w:pStyle w:val="ListParagraph"/>
        <w:numPr>
          <w:ilvl w:val="0"/>
          <w:numId w:val="12"/>
        </w:numPr>
        <w:spacing w:line="276" w:lineRule="auto"/>
        <w:rPr>
          <w:rFonts w:ascii="Century Gothic" w:hAnsi="Century Gothic"/>
        </w:rPr>
      </w:pPr>
      <w:r w:rsidRPr="00A21F26">
        <w:rPr>
          <w:rFonts w:ascii="Century Gothic" w:hAnsi="Century Gothic"/>
        </w:rPr>
        <w:t>A detailed analysis of the percentage comparison between 2020 and 2021 highlights impressive growth across all metrics.</w:t>
      </w:r>
    </w:p>
    <w:p w14:paraId="4343C0BE" w14:textId="77777777" w:rsidR="00A21F26" w:rsidRDefault="00A21F26" w:rsidP="007F2403">
      <w:pPr>
        <w:pStyle w:val="ListParagraph"/>
        <w:numPr>
          <w:ilvl w:val="0"/>
          <w:numId w:val="12"/>
        </w:numPr>
        <w:spacing w:line="276" w:lineRule="auto"/>
        <w:rPr>
          <w:rFonts w:ascii="Century Gothic" w:hAnsi="Century Gothic"/>
        </w:rPr>
      </w:pPr>
      <w:r w:rsidRPr="00A21F26">
        <w:rPr>
          <w:rFonts w:ascii="Century Gothic" w:hAnsi="Century Gothic"/>
        </w:rPr>
        <w:t>Net Sales comparison registers a substantial increase of 204.5%, showcasing the company's robust performance.</w:t>
      </w:r>
    </w:p>
    <w:p w14:paraId="38F4DD1A" w14:textId="77777777" w:rsidR="00F727EC" w:rsidRPr="00F727EC" w:rsidRDefault="00F727EC" w:rsidP="007F2403">
      <w:pPr>
        <w:pStyle w:val="ListParagraph"/>
        <w:spacing w:line="276" w:lineRule="auto"/>
        <w:jc w:val="center"/>
        <w:rPr>
          <w:rFonts w:ascii="Century Gothic" w:hAnsi="Century Gothic"/>
          <w:b/>
          <w:bCs/>
        </w:rPr>
      </w:pPr>
      <w:r w:rsidRPr="00F727EC">
        <w:rPr>
          <w:rFonts w:ascii="Century Gothic" w:hAnsi="Century Gothic"/>
          <w:b/>
          <w:bCs/>
        </w:rPr>
        <w:t>2021 vs. 2020:</w:t>
      </w:r>
    </w:p>
    <w:p w14:paraId="24D30B82" w14:textId="77777777" w:rsidR="00F727EC" w:rsidRPr="00F727EC" w:rsidRDefault="00F727EC" w:rsidP="007F2403">
      <w:pPr>
        <w:pStyle w:val="ListParagraph"/>
        <w:spacing w:line="276" w:lineRule="auto"/>
        <w:jc w:val="center"/>
        <w:rPr>
          <w:rFonts w:ascii="Century Gothic" w:hAnsi="Century Gothic"/>
        </w:rPr>
      </w:pPr>
      <w:r w:rsidRPr="00F727EC">
        <w:rPr>
          <w:rFonts w:ascii="Century Gothic" w:hAnsi="Century Gothic"/>
        </w:rPr>
        <w:t>Net Sales: 204.5% increase</w:t>
      </w:r>
    </w:p>
    <w:p w14:paraId="4F6D44A1" w14:textId="77777777" w:rsidR="00F727EC" w:rsidRPr="00F727EC" w:rsidRDefault="00F727EC" w:rsidP="007F2403">
      <w:pPr>
        <w:pStyle w:val="ListParagraph"/>
        <w:spacing w:line="276" w:lineRule="auto"/>
        <w:jc w:val="center"/>
        <w:rPr>
          <w:rFonts w:ascii="Century Gothic" w:hAnsi="Century Gothic"/>
        </w:rPr>
      </w:pPr>
      <w:r w:rsidRPr="00F727EC">
        <w:rPr>
          <w:rFonts w:ascii="Century Gothic" w:hAnsi="Century Gothic"/>
        </w:rPr>
        <w:t>COGS: 208.6% increase</w:t>
      </w:r>
    </w:p>
    <w:p w14:paraId="2DEEBC7D" w14:textId="77777777" w:rsidR="00F727EC" w:rsidRPr="00F727EC" w:rsidRDefault="00F727EC" w:rsidP="007F2403">
      <w:pPr>
        <w:pStyle w:val="ListParagraph"/>
        <w:spacing w:line="276" w:lineRule="auto"/>
        <w:jc w:val="center"/>
        <w:rPr>
          <w:rFonts w:ascii="Century Gothic" w:hAnsi="Century Gothic"/>
        </w:rPr>
      </w:pPr>
      <w:r w:rsidRPr="00F727EC">
        <w:rPr>
          <w:rFonts w:ascii="Century Gothic" w:hAnsi="Century Gothic"/>
        </w:rPr>
        <w:t>Gross Margin: Substantial growth</w:t>
      </w:r>
    </w:p>
    <w:p w14:paraId="3AC1E5BF" w14:textId="77777777" w:rsidR="00F727EC" w:rsidRDefault="00F727EC" w:rsidP="007F2403">
      <w:pPr>
        <w:pStyle w:val="ListParagraph"/>
        <w:spacing w:line="276" w:lineRule="auto"/>
        <w:jc w:val="center"/>
        <w:rPr>
          <w:rFonts w:ascii="Century Gothic" w:hAnsi="Century Gothic"/>
        </w:rPr>
      </w:pPr>
      <w:r w:rsidRPr="00F727EC">
        <w:rPr>
          <w:rFonts w:ascii="Century Gothic" w:hAnsi="Century Gothic"/>
        </w:rPr>
        <w:t>GM%: Slight decrease (-2.3%)</w:t>
      </w:r>
    </w:p>
    <w:p w14:paraId="3EC52370" w14:textId="77777777" w:rsidR="00F727EC" w:rsidRPr="00F727EC" w:rsidRDefault="00F727EC" w:rsidP="007F2403">
      <w:pPr>
        <w:pStyle w:val="ListParagraph"/>
        <w:spacing w:line="276" w:lineRule="auto"/>
        <w:jc w:val="center"/>
        <w:rPr>
          <w:rFonts w:ascii="Century Gothic" w:hAnsi="Century Gothic"/>
        </w:rPr>
      </w:pPr>
    </w:p>
    <w:p w14:paraId="3B979E2A" w14:textId="77777777" w:rsidR="00F727EC" w:rsidRPr="00F727EC" w:rsidRDefault="00F727EC" w:rsidP="007F2403">
      <w:pPr>
        <w:pStyle w:val="ListParagraph"/>
        <w:spacing w:line="276" w:lineRule="auto"/>
        <w:jc w:val="center"/>
        <w:rPr>
          <w:rFonts w:ascii="Century Gothic" w:hAnsi="Century Gothic"/>
          <w:b/>
          <w:bCs/>
        </w:rPr>
      </w:pPr>
      <w:r w:rsidRPr="00F727EC">
        <w:rPr>
          <w:rFonts w:ascii="Century Gothic" w:hAnsi="Century Gothic"/>
          <w:b/>
          <w:bCs/>
        </w:rPr>
        <w:t>2020 vs. 2019:</w:t>
      </w:r>
    </w:p>
    <w:p w14:paraId="429B7990" w14:textId="77777777" w:rsidR="00F727EC" w:rsidRPr="00F727EC" w:rsidRDefault="00F727EC" w:rsidP="007F2403">
      <w:pPr>
        <w:pStyle w:val="ListParagraph"/>
        <w:spacing w:line="276" w:lineRule="auto"/>
        <w:jc w:val="center"/>
        <w:rPr>
          <w:rFonts w:ascii="Century Gothic" w:hAnsi="Century Gothic"/>
        </w:rPr>
      </w:pPr>
      <w:r w:rsidRPr="00F727EC">
        <w:rPr>
          <w:rFonts w:ascii="Century Gothic" w:hAnsi="Century Gothic"/>
        </w:rPr>
        <w:t>Net Sales: 208.6% increase</w:t>
      </w:r>
    </w:p>
    <w:p w14:paraId="61936E04" w14:textId="77777777" w:rsidR="00F727EC" w:rsidRPr="00F727EC" w:rsidRDefault="00F727EC" w:rsidP="007F2403">
      <w:pPr>
        <w:pStyle w:val="ListParagraph"/>
        <w:spacing w:line="276" w:lineRule="auto"/>
        <w:jc w:val="center"/>
        <w:rPr>
          <w:rFonts w:ascii="Century Gothic" w:hAnsi="Century Gothic"/>
        </w:rPr>
      </w:pPr>
      <w:r w:rsidRPr="00F727EC">
        <w:rPr>
          <w:rFonts w:ascii="Century Gothic" w:hAnsi="Century Gothic"/>
        </w:rPr>
        <w:t>COGS: Significant growth</w:t>
      </w:r>
    </w:p>
    <w:p w14:paraId="6FF06E16" w14:textId="77777777" w:rsidR="00F727EC" w:rsidRPr="00F727EC" w:rsidRDefault="00F727EC" w:rsidP="007F2403">
      <w:pPr>
        <w:pStyle w:val="ListParagraph"/>
        <w:spacing w:line="276" w:lineRule="auto"/>
        <w:jc w:val="center"/>
        <w:rPr>
          <w:rFonts w:ascii="Century Gothic" w:hAnsi="Century Gothic"/>
        </w:rPr>
      </w:pPr>
      <w:r w:rsidRPr="00F727EC">
        <w:rPr>
          <w:rFonts w:ascii="Century Gothic" w:hAnsi="Century Gothic"/>
        </w:rPr>
        <w:t>Gross Margin: Continued improvement</w:t>
      </w:r>
    </w:p>
    <w:p w14:paraId="75BC2BA3" w14:textId="77777777" w:rsidR="00F727EC" w:rsidRDefault="00F727EC" w:rsidP="007F2403">
      <w:pPr>
        <w:pStyle w:val="ListParagraph"/>
        <w:spacing w:line="276" w:lineRule="auto"/>
        <w:jc w:val="center"/>
        <w:rPr>
          <w:rFonts w:ascii="Century Gothic" w:hAnsi="Century Gothic"/>
        </w:rPr>
      </w:pPr>
      <w:r w:rsidRPr="00F727EC">
        <w:rPr>
          <w:rFonts w:ascii="Century Gothic" w:hAnsi="Century Gothic"/>
        </w:rPr>
        <w:t>GM%: Slight decrease (-1.3%)</w:t>
      </w:r>
    </w:p>
    <w:p w14:paraId="4A1212EA" w14:textId="77777777" w:rsidR="00F727EC" w:rsidRPr="00F727EC" w:rsidRDefault="00F727EC" w:rsidP="007F2403">
      <w:pPr>
        <w:pStyle w:val="ListParagraph"/>
        <w:spacing w:line="276" w:lineRule="auto"/>
        <w:jc w:val="center"/>
        <w:rPr>
          <w:rFonts w:ascii="Century Gothic" w:hAnsi="Century Gothic"/>
        </w:rPr>
      </w:pPr>
    </w:p>
    <w:p w14:paraId="4EE310EA" w14:textId="77777777" w:rsidR="00F727EC" w:rsidRPr="00F727EC" w:rsidRDefault="00F727EC" w:rsidP="007F2403">
      <w:pPr>
        <w:pStyle w:val="ListParagraph"/>
        <w:spacing w:line="276" w:lineRule="auto"/>
        <w:rPr>
          <w:rFonts w:ascii="Century Gothic" w:hAnsi="Century Gothic"/>
          <w:b/>
          <w:bCs/>
        </w:rPr>
      </w:pPr>
      <w:r w:rsidRPr="00F727EC">
        <w:rPr>
          <w:rFonts w:ascii="Century Gothic" w:hAnsi="Century Gothic"/>
          <w:b/>
          <w:bCs/>
        </w:rPr>
        <w:t>Result: Exceptional growth in 2021 compared to 2020 and a robust performance trend over the two-year period.</w:t>
      </w:r>
    </w:p>
    <w:p w14:paraId="16F4DD87" w14:textId="77777777" w:rsidR="00F727EC" w:rsidRPr="00F727EC" w:rsidRDefault="00F727EC" w:rsidP="007F2403">
      <w:pPr>
        <w:spacing w:line="276" w:lineRule="auto"/>
        <w:rPr>
          <w:rFonts w:ascii="Century Gothic" w:hAnsi="Century Gothic"/>
        </w:rPr>
      </w:pPr>
    </w:p>
    <w:p w14:paraId="714316F3" w14:textId="77777777" w:rsidR="00A21F26" w:rsidRDefault="00A21F26" w:rsidP="007F2403">
      <w:pPr>
        <w:spacing w:line="276" w:lineRule="auto"/>
      </w:pPr>
    </w:p>
    <w:p w14:paraId="780CC8CA" w14:textId="77777777" w:rsidR="007F2403" w:rsidRDefault="007F2403" w:rsidP="007F2403">
      <w:pPr>
        <w:spacing w:line="276" w:lineRule="auto"/>
      </w:pPr>
    </w:p>
    <w:p w14:paraId="6F842285" w14:textId="77777777" w:rsidR="007F2403" w:rsidRDefault="007F2403" w:rsidP="007F2403">
      <w:pPr>
        <w:spacing w:line="276" w:lineRule="auto"/>
      </w:pPr>
    </w:p>
    <w:p w14:paraId="41DF9B9B" w14:textId="77777777" w:rsidR="007F2403" w:rsidRPr="00A21F26" w:rsidRDefault="007F2403" w:rsidP="007F2403">
      <w:pPr>
        <w:spacing w:line="276" w:lineRule="auto"/>
      </w:pPr>
    </w:p>
    <w:p w14:paraId="65A7FBB1" w14:textId="77777777" w:rsidR="00966F91" w:rsidRDefault="00966F91" w:rsidP="007F2403">
      <w:pPr>
        <w:pStyle w:val="Heading2"/>
        <w:numPr>
          <w:ilvl w:val="0"/>
          <w:numId w:val="7"/>
        </w:numPr>
        <w:spacing w:line="276" w:lineRule="auto"/>
      </w:pPr>
      <w:bookmarkStart w:id="10" w:name="_Toc156313812"/>
      <w:r w:rsidRPr="00966F91">
        <w:rPr>
          <w:rFonts w:eastAsiaTheme="minorHAnsi"/>
        </w:rPr>
        <w:t>Summary and Recommendations</w:t>
      </w:r>
      <w:bookmarkEnd w:id="10"/>
    </w:p>
    <w:p w14:paraId="63D947FC" w14:textId="77777777" w:rsidR="00A21F26" w:rsidRDefault="00A21F26" w:rsidP="007F2403">
      <w:pPr>
        <w:pStyle w:val="ListParagraph"/>
        <w:spacing w:line="276" w:lineRule="auto"/>
        <w:rPr>
          <w:rFonts w:ascii="Century Gothic" w:hAnsi="Century Gothic"/>
        </w:rPr>
      </w:pPr>
      <w:r w:rsidRPr="00A21F26">
        <w:rPr>
          <w:rFonts w:ascii="Century Gothic" w:hAnsi="Century Gothic"/>
        </w:rPr>
        <w:t>This analysis reveals a commendable growth trajectory for AtliQ Hardware over the past three fiscal years. While Net Sales have shown exponential growth, there is a need to address the slight decrease in GM%. Recommendations include optimizing operational efficiency and exploring strategies to maintain and enhance profitability.</w:t>
      </w:r>
    </w:p>
    <w:p w14:paraId="1F6C0AEB" w14:textId="77777777" w:rsidR="00A21F26" w:rsidRPr="00A21F26" w:rsidRDefault="00A21F26" w:rsidP="007F2403">
      <w:pPr>
        <w:pStyle w:val="ListParagraph"/>
        <w:spacing w:line="276" w:lineRule="auto"/>
        <w:rPr>
          <w:rFonts w:ascii="Century Gothic" w:hAnsi="Century Gothic"/>
        </w:rPr>
      </w:pPr>
    </w:p>
    <w:p w14:paraId="06F7D0DB" w14:textId="0EEBA8B9" w:rsidR="00966F91" w:rsidRDefault="00A21F26" w:rsidP="007F2403">
      <w:pPr>
        <w:pStyle w:val="ListParagraph"/>
        <w:spacing w:line="276" w:lineRule="auto"/>
        <w:rPr>
          <w:rFonts w:ascii="Century Gothic" w:hAnsi="Century Gothic"/>
        </w:rPr>
      </w:pPr>
      <w:r w:rsidRPr="00A21F26">
        <w:rPr>
          <w:rFonts w:ascii="Century Gothic" w:hAnsi="Century Gothic"/>
        </w:rPr>
        <w:t>In conclusion, this report serves as a valuable tool for strategic planning, offering insights into financial performance and market dynamics. Further analysis and targeted actions based on these findings can contribute to sustained growth and success for AtliQ Hardware.</w:t>
      </w:r>
    </w:p>
    <w:sectPr w:rsidR="00966F91" w:rsidSect="00EB40E9">
      <w:headerReference w:type="default" r:id="rId9"/>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72A4C" w14:textId="77777777" w:rsidR="00EB40E9" w:rsidRDefault="00EB40E9" w:rsidP="00966F91">
      <w:pPr>
        <w:spacing w:after="0" w:line="240" w:lineRule="auto"/>
      </w:pPr>
      <w:r>
        <w:separator/>
      </w:r>
    </w:p>
  </w:endnote>
  <w:endnote w:type="continuationSeparator" w:id="0">
    <w:p w14:paraId="59E3F242" w14:textId="77777777" w:rsidR="00EB40E9" w:rsidRDefault="00EB40E9" w:rsidP="0096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365411"/>
      <w:docPartObj>
        <w:docPartGallery w:val="Page Numbers (Bottom of Page)"/>
        <w:docPartUnique/>
      </w:docPartObj>
    </w:sdtPr>
    <w:sdtEndPr>
      <w:rPr>
        <w:noProof/>
      </w:rPr>
    </w:sdtEndPr>
    <w:sdtContent>
      <w:p w14:paraId="734E6DE7" w14:textId="6985BB1B" w:rsidR="00A21F26" w:rsidRDefault="00A21F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7A2BC2" w14:textId="77777777" w:rsidR="00966F91" w:rsidRDefault="00966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88B3E" w14:textId="77777777" w:rsidR="00EB40E9" w:rsidRDefault="00EB40E9" w:rsidP="00966F91">
      <w:pPr>
        <w:spacing w:after="0" w:line="240" w:lineRule="auto"/>
      </w:pPr>
      <w:r>
        <w:separator/>
      </w:r>
    </w:p>
  </w:footnote>
  <w:footnote w:type="continuationSeparator" w:id="0">
    <w:p w14:paraId="0FE554B6" w14:textId="77777777" w:rsidR="00EB40E9" w:rsidRDefault="00EB40E9" w:rsidP="00966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F93D9" w14:textId="5BE6FD52" w:rsidR="00966F91" w:rsidRDefault="00966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48F"/>
    <w:multiLevelType w:val="hybridMultilevel"/>
    <w:tmpl w:val="9C0E52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5C920B9"/>
    <w:multiLevelType w:val="hybridMultilevel"/>
    <w:tmpl w:val="5A54AA2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E8F1AA2"/>
    <w:multiLevelType w:val="multilevel"/>
    <w:tmpl w:val="D1788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412139"/>
    <w:multiLevelType w:val="hybridMultilevel"/>
    <w:tmpl w:val="39A4963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96012A0"/>
    <w:multiLevelType w:val="hybridMultilevel"/>
    <w:tmpl w:val="AC76C36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DB95413"/>
    <w:multiLevelType w:val="multilevel"/>
    <w:tmpl w:val="554C9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5B0C4C"/>
    <w:multiLevelType w:val="hybridMultilevel"/>
    <w:tmpl w:val="C6D093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3255368"/>
    <w:multiLevelType w:val="multilevel"/>
    <w:tmpl w:val="27F4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BD7E2E"/>
    <w:multiLevelType w:val="hybridMultilevel"/>
    <w:tmpl w:val="8FB811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8B0420C"/>
    <w:multiLevelType w:val="multilevel"/>
    <w:tmpl w:val="F514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A43109"/>
    <w:multiLevelType w:val="multilevel"/>
    <w:tmpl w:val="D2943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1D4B50"/>
    <w:multiLevelType w:val="multilevel"/>
    <w:tmpl w:val="27F2B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815FD9"/>
    <w:multiLevelType w:val="multilevel"/>
    <w:tmpl w:val="846CA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B93F8C"/>
    <w:multiLevelType w:val="hybridMultilevel"/>
    <w:tmpl w:val="8398C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FFD2B45"/>
    <w:multiLevelType w:val="multilevel"/>
    <w:tmpl w:val="42A2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E24EAA"/>
    <w:multiLevelType w:val="multilevel"/>
    <w:tmpl w:val="221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D9471E"/>
    <w:multiLevelType w:val="multilevel"/>
    <w:tmpl w:val="FD0C4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B85764"/>
    <w:multiLevelType w:val="multilevel"/>
    <w:tmpl w:val="C9A40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EC5720"/>
    <w:multiLevelType w:val="multilevel"/>
    <w:tmpl w:val="81E8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682CC7"/>
    <w:multiLevelType w:val="multilevel"/>
    <w:tmpl w:val="3A1CA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C21160"/>
    <w:multiLevelType w:val="multilevel"/>
    <w:tmpl w:val="7A80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4883126">
    <w:abstractNumId w:val="10"/>
  </w:num>
  <w:num w:numId="2" w16cid:durableId="1667711649">
    <w:abstractNumId w:val="17"/>
  </w:num>
  <w:num w:numId="3" w16cid:durableId="244341181">
    <w:abstractNumId w:val="12"/>
  </w:num>
  <w:num w:numId="4" w16cid:durableId="1359430220">
    <w:abstractNumId w:val="19"/>
  </w:num>
  <w:num w:numId="5" w16cid:durableId="2029214386">
    <w:abstractNumId w:val="2"/>
  </w:num>
  <w:num w:numId="6" w16cid:durableId="618413004">
    <w:abstractNumId w:val="8"/>
  </w:num>
  <w:num w:numId="7" w16cid:durableId="1959338905">
    <w:abstractNumId w:val="13"/>
  </w:num>
  <w:num w:numId="8" w16cid:durableId="1990473969">
    <w:abstractNumId w:val="3"/>
  </w:num>
  <w:num w:numId="9" w16cid:durableId="1487042023">
    <w:abstractNumId w:val="0"/>
  </w:num>
  <w:num w:numId="10" w16cid:durableId="829517507">
    <w:abstractNumId w:val="1"/>
  </w:num>
  <w:num w:numId="11" w16cid:durableId="1508330665">
    <w:abstractNumId w:val="6"/>
  </w:num>
  <w:num w:numId="12" w16cid:durableId="643854170">
    <w:abstractNumId w:val="4"/>
  </w:num>
  <w:num w:numId="13" w16cid:durableId="742337870">
    <w:abstractNumId w:val="15"/>
  </w:num>
  <w:num w:numId="14" w16cid:durableId="2066757379">
    <w:abstractNumId w:val="18"/>
  </w:num>
  <w:num w:numId="15" w16cid:durableId="677318422">
    <w:abstractNumId w:val="14"/>
  </w:num>
  <w:num w:numId="16" w16cid:durableId="969554487">
    <w:abstractNumId w:val="7"/>
  </w:num>
  <w:num w:numId="17" w16cid:durableId="796338243">
    <w:abstractNumId w:val="9"/>
  </w:num>
  <w:num w:numId="18" w16cid:durableId="300615007">
    <w:abstractNumId w:val="11"/>
  </w:num>
  <w:num w:numId="19" w16cid:durableId="38630227">
    <w:abstractNumId w:val="16"/>
  </w:num>
  <w:num w:numId="20" w16cid:durableId="1347369260">
    <w:abstractNumId w:val="20"/>
  </w:num>
  <w:num w:numId="21" w16cid:durableId="15874958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91"/>
    <w:rsid w:val="00144792"/>
    <w:rsid w:val="00407120"/>
    <w:rsid w:val="0045235A"/>
    <w:rsid w:val="007F2403"/>
    <w:rsid w:val="00966F91"/>
    <w:rsid w:val="00A21F26"/>
    <w:rsid w:val="00EB40E9"/>
    <w:rsid w:val="00F727EC"/>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437DE"/>
  <w15:chartTrackingRefBased/>
  <w15:docId w15:val="{1F61162C-602A-4A8C-BFA4-789B4709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uto"/>
    </w:pPr>
  </w:style>
  <w:style w:type="paragraph" w:styleId="Heading1">
    <w:name w:val="heading 1"/>
    <w:basedOn w:val="Normal"/>
    <w:next w:val="Normal"/>
    <w:link w:val="Heading1Char"/>
    <w:uiPriority w:val="9"/>
    <w:qFormat/>
    <w:rsid w:val="00966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6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6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6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6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F91"/>
    <w:rPr>
      <w:rFonts w:eastAsiaTheme="majorEastAsia" w:cstheme="majorBidi"/>
      <w:color w:val="272727" w:themeColor="text1" w:themeTint="D8"/>
    </w:rPr>
  </w:style>
  <w:style w:type="paragraph" w:styleId="Title">
    <w:name w:val="Title"/>
    <w:basedOn w:val="Normal"/>
    <w:next w:val="Normal"/>
    <w:link w:val="TitleChar"/>
    <w:uiPriority w:val="10"/>
    <w:qFormat/>
    <w:rsid w:val="00966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F91"/>
    <w:pPr>
      <w:spacing w:before="160"/>
      <w:jc w:val="center"/>
    </w:pPr>
    <w:rPr>
      <w:i/>
      <w:iCs/>
      <w:color w:val="404040" w:themeColor="text1" w:themeTint="BF"/>
    </w:rPr>
  </w:style>
  <w:style w:type="character" w:customStyle="1" w:styleId="QuoteChar">
    <w:name w:val="Quote Char"/>
    <w:basedOn w:val="DefaultParagraphFont"/>
    <w:link w:val="Quote"/>
    <w:uiPriority w:val="29"/>
    <w:rsid w:val="00966F91"/>
    <w:rPr>
      <w:i/>
      <w:iCs/>
      <w:color w:val="404040" w:themeColor="text1" w:themeTint="BF"/>
    </w:rPr>
  </w:style>
  <w:style w:type="paragraph" w:styleId="ListParagraph">
    <w:name w:val="List Paragraph"/>
    <w:basedOn w:val="Normal"/>
    <w:uiPriority w:val="34"/>
    <w:qFormat/>
    <w:rsid w:val="00966F91"/>
    <w:pPr>
      <w:ind w:left="720"/>
      <w:contextualSpacing/>
    </w:pPr>
  </w:style>
  <w:style w:type="character" w:styleId="IntenseEmphasis">
    <w:name w:val="Intense Emphasis"/>
    <w:basedOn w:val="DefaultParagraphFont"/>
    <w:uiPriority w:val="21"/>
    <w:qFormat/>
    <w:rsid w:val="00966F91"/>
    <w:rPr>
      <w:i/>
      <w:iCs/>
      <w:color w:val="0F4761" w:themeColor="accent1" w:themeShade="BF"/>
    </w:rPr>
  </w:style>
  <w:style w:type="paragraph" w:styleId="IntenseQuote">
    <w:name w:val="Intense Quote"/>
    <w:basedOn w:val="Normal"/>
    <w:next w:val="Normal"/>
    <w:link w:val="IntenseQuoteChar"/>
    <w:uiPriority w:val="30"/>
    <w:qFormat/>
    <w:rsid w:val="00966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F91"/>
    <w:rPr>
      <w:i/>
      <w:iCs/>
      <w:color w:val="0F4761" w:themeColor="accent1" w:themeShade="BF"/>
    </w:rPr>
  </w:style>
  <w:style w:type="character" w:styleId="IntenseReference">
    <w:name w:val="Intense Reference"/>
    <w:basedOn w:val="DefaultParagraphFont"/>
    <w:uiPriority w:val="32"/>
    <w:qFormat/>
    <w:rsid w:val="00966F91"/>
    <w:rPr>
      <w:b/>
      <w:bCs/>
      <w:smallCaps/>
      <w:color w:val="0F4761" w:themeColor="accent1" w:themeShade="BF"/>
      <w:spacing w:val="5"/>
    </w:rPr>
  </w:style>
  <w:style w:type="paragraph" w:styleId="Header">
    <w:name w:val="header"/>
    <w:basedOn w:val="Normal"/>
    <w:link w:val="HeaderChar"/>
    <w:uiPriority w:val="99"/>
    <w:unhideWhenUsed/>
    <w:rsid w:val="00966F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F91"/>
  </w:style>
  <w:style w:type="paragraph" w:styleId="Footer">
    <w:name w:val="footer"/>
    <w:basedOn w:val="Normal"/>
    <w:link w:val="FooterChar"/>
    <w:uiPriority w:val="99"/>
    <w:unhideWhenUsed/>
    <w:rsid w:val="00966F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F91"/>
  </w:style>
  <w:style w:type="paragraph" w:styleId="NormalWeb">
    <w:name w:val="Normal (Web)"/>
    <w:basedOn w:val="Normal"/>
    <w:uiPriority w:val="99"/>
    <w:semiHidden/>
    <w:unhideWhenUsed/>
    <w:rsid w:val="00966F91"/>
    <w:pPr>
      <w:spacing w:before="100" w:beforeAutospacing="1" w:after="100" w:afterAutospacing="1" w:line="240" w:lineRule="auto"/>
      <w:jc w:val="left"/>
    </w:pPr>
    <w:rPr>
      <w:rFonts w:ascii="Times New Roman" w:eastAsia="Times New Roman" w:hAnsi="Times New Roman" w:cs="Times New Roman"/>
      <w:kern w:val="0"/>
      <w:sz w:val="24"/>
      <w:szCs w:val="24"/>
      <w:lang w:eastAsia="en-AU" w:bidi="ne-NP"/>
      <w14:ligatures w14:val="none"/>
    </w:rPr>
  </w:style>
  <w:style w:type="character" w:styleId="Strong">
    <w:name w:val="Strong"/>
    <w:basedOn w:val="DefaultParagraphFont"/>
    <w:uiPriority w:val="22"/>
    <w:qFormat/>
    <w:rsid w:val="00966F91"/>
    <w:rPr>
      <w:b/>
      <w:bCs/>
    </w:rPr>
  </w:style>
  <w:style w:type="paragraph" w:styleId="TOCHeading">
    <w:name w:val="TOC Heading"/>
    <w:basedOn w:val="Heading1"/>
    <w:next w:val="Normal"/>
    <w:uiPriority w:val="39"/>
    <w:unhideWhenUsed/>
    <w:qFormat/>
    <w:rsid w:val="00966F91"/>
    <w:pPr>
      <w:spacing w:before="240" w:after="0" w:line="259" w:lineRule="auto"/>
      <w:jc w:val="left"/>
      <w:outlineLvl w:val="9"/>
    </w:pPr>
    <w:rPr>
      <w:kern w:val="0"/>
      <w:sz w:val="32"/>
      <w:szCs w:val="32"/>
      <w:lang w:val="en-US"/>
      <w14:ligatures w14:val="none"/>
    </w:rPr>
  </w:style>
  <w:style w:type="paragraph" w:styleId="TOC1">
    <w:name w:val="toc 1"/>
    <w:basedOn w:val="Normal"/>
    <w:next w:val="Normal"/>
    <w:autoRedefine/>
    <w:uiPriority w:val="39"/>
    <w:unhideWhenUsed/>
    <w:rsid w:val="00966F91"/>
    <w:pPr>
      <w:spacing w:after="100"/>
    </w:pPr>
  </w:style>
  <w:style w:type="character" w:styleId="Hyperlink">
    <w:name w:val="Hyperlink"/>
    <w:basedOn w:val="DefaultParagraphFont"/>
    <w:uiPriority w:val="99"/>
    <w:unhideWhenUsed/>
    <w:rsid w:val="00966F91"/>
    <w:rPr>
      <w:color w:val="467886" w:themeColor="hyperlink"/>
      <w:u w:val="single"/>
    </w:rPr>
  </w:style>
  <w:style w:type="paragraph" w:styleId="TOC2">
    <w:name w:val="toc 2"/>
    <w:basedOn w:val="Normal"/>
    <w:next w:val="Normal"/>
    <w:autoRedefine/>
    <w:uiPriority w:val="39"/>
    <w:unhideWhenUsed/>
    <w:rsid w:val="00966F91"/>
    <w:pPr>
      <w:spacing w:after="100"/>
      <w:ind w:left="220"/>
    </w:pPr>
  </w:style>
  <w:style w:type="paragraph" w:styleId="NoSpacing">
    <w:name w:val="No Spacing"/>
    <w:link w:val="NoSpacingChar"/>
    <w:uiPriority w:val="1"/>
    <w:qFormat/>
    <w:rsid w:val="00966F91"/>
    <w:pPr>
      <w:spacing w:after="0" w:line="240" w:lineRule="auto"/>
      <w:jc w:val="left"/>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6F91"/>
    <w:rPr>
      <w:rFonts w:eastAsiaTheme="minorEastAsia"/>
      <w:kern w:val="0"/>
      <w:lang w:val="en-US"/>
      <w14:ligatures w14:val="none"/>
    </w:rPr>
  </w:style>
  <w:style w:type="paragraph" w:styleId="TOC3">
    <w:name w:val="toc 3"/>
    <w:basedOn w:val="Normal"/>
    <w:next w:val="Normal"/>
    <w:autoRedefine/>
    <w:uiPriority w:val="39"/>
    <w:unhideWhenUsed/>
    <w:rsid w:val="00A21F26"/>
    <w:pPr>
      <w:spacing w:after="100"/>
      <w:ind w:left="440"/>
    </w:pPr>
  </w:style>
  <w:style w:type="character" w:styleId="Emphasis">
    <w:name w:val="Emphasis"/>
    <w:basedOn w:val="DefaultParagraphFont"/>
    <w:uiPriority w:val="20"/>
    <w:qFormat/>
    <w:rsid w:val="00F727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6883">
      <w:bodyDiv w:val="1"/>
      <w:marLeft w:val="0"/>
      <w:marRight w:val="0"/>
      <w:marTop w:val="0"/>
      <w:marBottom w:val="0"/>
      <w:divBdr>
        <w:top w:val="none" w:sz="0" w:space="0" w:color="auto"/>
        <w:left w:val="none" w:sz="0" w:space="0" w:color="auto"/>
        <w:bottom w:val="none" w:sz="0" w:space="0" w:color="auto"/>
        <w:right w:val="none" w:sz="0" w:space="0" w:color="auto"/>
      </w:divBdr>
    </w:div>
    <w:div w:id="153689671">
      <w:bodyDiv w:val="1"/>
      <w:marLeft w:val="0"/>
      <w:marRight w:val="0"/>
      <w:marTop w:val="0"/>
      <w:marBottom w:val="0"/>
      <w:divBdr>
        <w:top w:val="none" w:sz="0" w:space="0" w:color="auto"/>
        <w:left w:val="none" w:sz="0" w:space="0" w:color="auto"/>
        <w:bottom w:val="none" w:sz="0" w:space="0" w:color="auto"/>
        <w:right w:val="none" w:sz="0" w:space="0" w:color="auto"/>
      </w:divBdr>
    </w:div>
    <w:div w:id="377360469">
      <w:bodyDiv w:val="1"/>
      <w:marLeft w:val="0"/>
      <w:marRight w:val="0"/>
      <w:marTop w:val="0"/>
      <w:marBottom w:val="0"/>
      <w:divBdr>
        <w:top w:val="none" w:sz="0" w:space="0" w:color="auto"/>
        <w:left w:val="none" w:sz="0" w:space="0" w:color="auto"/>
        <w:bottom w:val="none" w:sz="0" w:space="0" w:color="auto"/>
        <w:right w:val="none" w:sz="0" w:space="0" w:color="auto"/>
      </w:divBdr>
    </w:div>
    <w:div w:id="831532989">
      <w:bodyDiv w:val="1"/>
      <w:marLeft w:val="0"/>
      <w:marRight w:val="0"/>
      <w:marTop w:val="0"/>
      <w:marBottom w:val="0"/>
      <w:divBdr>
        <w:top w:val="none" w:sz="0" w:space="0" w:color="auto"/>
        <w:left w:val="none" w:sz="0" w:space="0" w:color="auto"/>
        <w:bottom w:val="none" w:sz="0" w:space="0" w:color="auto"/>
        <w:right w:val="none" w:sz="0" w:space="0" w:color="auto"/>
      </w:divBdr>
    </w:div>
    <w:div w:id="932713521">
      <w:bodyDiv w:val="1"/>
      <w:marLeft w:val="0"/>
      <w:marRight w:val="0"/>
      <w:marTop w:val="0"/>
      <w:marBottom w:val="0"/>
      <w:divBdr>
        <w:top w:val="none" w:sz="0" w:space="0" w:color="auto"/>
        <w:left w:val="none" w:sz="0" w:space="0" w:color="auto"/>
        <w:bottom w:val="none" w:sz="0" w:space="0" w:color="auto"/>
        <w:right w:val="none" w:sz="0" w:space="0" w:color="auto"/>
      </w:divBdr>
    </w:div>
    <w:div w:id="972102322">
      <w:bodyDiv w:val="1"/>
      <w:marLeft w:val="0"/>
      <w:marRight w:val="0"/>
      <w:marTop w:val="0"/>
      <w:marBottom w:val="0"/>
      <w:divBdr>
        <w:top w:val="none" w:sz="0" w:space="0" w:color="auto"/>
        <w:left w:val="none" w:sz="0" w:space="0" w:color="auto"/>
        <w:bottom w:val="none" w:sz="0" w:space="0" w:color="auto"/>
        <w:right w:val="none" w:sz="0" w:space="0" w:color="auto"/>
      </w:divBdr>
    </w:div>
    <w:div w:id="1123966516">
      <w:bodyDiv w:val="1"/>
      <w:marLeft w:val="0"/>
      <w:marRight w:val="0"/>
      <w:marTop w:val="0"/>
      <w:marBottom w:val="0"/>
      <w:divBdr>
        <w:top w:val="none" w:sz="0" w:space="0" w:color="auto"/>
        <w:left w:val="none" w:sz="0" w:space="0" w:color="auto"/>
        <w:bottom w:val="none" w:sz="0" w:space="0" w:color="auto"/>
        <w:right w:val="none" w:sz="0" w:space="0" w:color="auto"/>
      </w:divBdr>
    </w:div>
    <w:div w:id="1332221423">
      <w:bodyDiv w:val="1"/>
      <w:marLeft w:val="0"/>
      <w:marRight w:val="0"/>
      <w:marTop w:val="0"/>
      <w:marBottom w:val="0"/>
      <w:divBdr>
        <w:top w:val="none" w:sz="0" w:space="0" w:color="auto"/>
        <w:left w:val="none" w:sz="0" w:space="0" w:color="auto"/>
        <w:bottom w:val="none" w:sz="0" w:space="0" w:color="auto"/>
        <w:right w:val="none" w:sz="0" w:space="0" w:color="auto"/>
      </w:divBdr>
    </w:div>
    <w:div w:id="1636250224">
      <w:bodyDiv w:val="1"/>
      <w:marLeft w:val="0"/>
      <w:marRight w:val="0"/>
      <w:marTop w:val="0"/>
      <w:marBottom w:val="0"/>
      <w:divBdr>
        <w:top w:val="none" w:sz="0" w:space="0" w:color="auto"/>
        <w:left w:val="none" w:sz="0" w:space="0" w:color="auto"/>
        <w:bottom w:val="none" w:sz="0" w:space="0" w:color="auto"/>
        <w:right w:val="none" w:sz="0" w:space="0" w:color="auto"/>
      </w:divBdr>
    </w:div>
    <w:div w:id="202494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2A3D5A-8BD6-4E29-9E4D-4D2C7C3F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Report: Analysis of P&amp;L and Market Performance at</dc:title>
  <dc:subject/>
  <dc:creator>Pradip Bhatta</dc:creator>
  <cp:keywords/>
  <dc:description/>
  <cp:lastModifiedBy>Pradip</cp:lastModifiedBy>
  <cp:revision>3</cp:revision>
  <dcterms:created xsi:type="dcterms:W3CDTF">2024-01-16T05:12:00Z</dcterms:created>
  <dcterms:modified xsi:type="dcterms:W3CDTF">2024-01-16T05:40:00Z</dcterms:modified>
</cp:coreProperties>
</file>