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GreenGrow Innovations was founded in 2010 by Sarah Chen and Michael Rodriguez, two agricultural engineers with a passion for sustainable farming. The company started in a small garage in Portland, Oregon, with a simple mission: to make farming more environmentally friendly and efficient.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its early days, GreenGrow focused on developing smart irrigation systems that could significantly reduce water usage in agriculture. Their first product, the WaterWise Sensor, was launched in 2012 and quickly gained popularity among local farmers. This success allowed the company to expand its research and development efforts.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By 2015, GreenGrow had outgrown its garage origins and moved into a proper office and research facility in the outskirts of Portland. This move coincided with the development of their second major product, the SoilHealth Monitor, which used advanced sensors to analyze soil composition and provide real-time recommendations for optimal crop growth.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company's breakthrough came in 2018 with the introduction of the EcoHarvest System, an integrated solution that combined smart irrigation, soil monitoring, and automated harvesting techniques. This system caught the attention of large-scale farmers across the United States, propelling GreenGrow to national prominence.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Today, GreenGrow Innovations employs over 200 people and has expanded its operations to include offices in California and Iowa. The company continues to focus on developing sustainable agricultural technologies, with ongoing projects in vertical farming, drought-resistant crop development, and AI-powered farm management systems.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Despite its growth, GreenGrow remains committed to its original mission of promoting sustainable farming practices. The company regularly partners with universities and research institutions to advance the field of agricultural technology and hosts annual conferences to share knowledge with farmers and other industry professionals.</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