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TechWave Innovations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Headquarters</w:t>
      </w:r>
      <w:r w:rsidDel="00000000" w:rsidR="00000000" w:rsidRPr="00000000">
        <w:rPr>
          <w:rtl w:val="0"/>
        </w:rPr>
        <w:t xml:space="preserve">: TechWave Innovations is headquartered in </w:t>
      </w:r>
      <w:r w:rsidDel="00000000" w:rsidR="00000000" w:rsidRPr="00000000">
        <w:rPr>
          <w:b w:val="1"/>
          <w:rtl w:val="0"/>
        </w:rPr>
        <w:t xml:space="preserve">San Francisco, California, USA</w:t>
      </w:r>
      <w:r w:rsidDel="00000000" w:rsidR="00000000" w:rsidRPr="00000000">
        <w:rPr>
          <w:rtl w:val="0"/>
        </w:rPr>
        <w:t xml:space="preserve">. As a leader in cutting-edge AI and machine learning solutions, the company thrives in the heart of Silicon Valley, benefiting from its proximity to tech giants and a dynamic startup ecosystem. With its headquarters in this global technology hub, TechWave Innovations has access to top talent and a vast network of innovation-driven enterprises.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