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E3A8A"/>
          <w:sz w:val="44"/>
        </w:rPr>
        <w:t>Ops_Auto: Complete Project Accomplishments &amp; Architecture Document</w:t>
      </w:r>
    </w:p>
    <w:p>
      <w:pPr>
        <w:spacing w:before="0" w:after="160"/>
      </w:pPr>
      <w:r>
        <w:rPr>
          <w:rFonts w:ascii="Calibri" w:hAnsi="Calibri"/>
          <w:color w:val="64748B"/>
          <w:sz w:val="22"/>
        </w:rPr>
        <w:t>Comprehensive Technical Implementation, End-to-End Milestones, Business Impact, and Standard Operating Procedure (SOP)</w:t>
      </w:r>
    </w:p>
    <w:tbl>
      <w:tblPr>
        <w:tblW w:type="auto" w:w="0"/>
        <w:jc w:val="center"/>
        <w:tblLayout w:type="fixed"/>
        <w:tblLook w:firstColumn="1" w:firstRow="1" w:lastColumn="0" w:lastRow="0" w:noHBand="0" w:noVBand="1" w:val="04A0"/>
      </w:tblPr>
      <w:tblGrid>
        <w:gridCol w:w="10080"/>
      </w:tblGrid>
      <w:tr>
        <w:tc>
          <w:tcPr>
            <w:tcW w:type="dxa" w:w="9360"/>
            <w:tcMar>
              <w:top w:w="140" w:type="dxa"/>
              <w:bottom w:w="140" w:type="dxa"/>
              <w:left w:w="180" w:type="dxa"/>
              <w:right w:w="160" w:type="dxa"/>
            </w:tcMar>
            <w:shd w:fill="F1F5F9"/>
            <w:tcBorders>
              <w:left w:val="single" w:sz="24" w:space="0" w:color="1E3A8A"/>
              <w:top w:val="none"/>
              <w:right w:val="none"/>
              <w:bottom w:val="none"/>
            </w:tcBorders>
          </w:tcPr>
          <w:p>
            <w:pPr>
              <w:spacing w:before="0" w:after="80"/>
            </w:pPr>
            <w:r>
              <w:rPr>
                <w:rFonts w:ascii="Calibri" w:hAnsi="Calibri"/>
                <w:b/>
                <w:color w:val="1E3A8A"/>
                <w:sz w:val="22"/>
              </w:rPr>
              <w:t>🏛️ Project Deliverable Metadata</w:t>
              <w:br/>
            </w:r>
            <w:r>
              <w:rPr>
                <w:rFonts w:ascii="Calibri" w:hAnsi="Calibri"/>
                <w:color w:val="0F172A"/>
                <w:sz w:val="19"/>
              </w:rPr>
              <w:t>• Organization: SwinkPay Fintech Pvt Ltd (FinOps Automation Engineering)</w:t>
              <w:br/>
              <w:t>• Authors &amp; Contributors: Pradnyan Hegde &amp; Antigravity (Google DeepMind)</w:t>
              <w:br/>
              <w:t>• Version: Production 2.0 | Test Suite: 58/58 Tests Passing (100% OK)</w:t>
              <w:br/>
              <w:t>• Date: September 2026 | GitHub: https://github.com/Pradnyan-hegde/Ops_Auto.git</w:t>
            </w:r>
          </w:p>
        </w:tc>
      </w:tr>
    </w:tbl>
    <w:p>
      <w:pPr>
        <w:spacing w:before="0" w:after="80"/>
      </w:pPr>
    </w:p>
    <w:p>
      <w:pPr>
        <w:pStyle w:val="Heading1"/>
        <w:keepNext/>
        <w:spacing w:before="280" w:after="80"/>
      </w:pPr>
      <w:r>
        <w:rPr>
          <w:rFonts w:ascii="Calibri" w:hAnsi="Calibri"/>
          <w:b/>
          <w:color w:val="1E3A8A"/>
          <w:sz w:val="32"/>
        </w:rPr>
        <w:t>1. Executive Summary</w:t>
      </w:r>
    </w:p>
    <w:p>
      <w:pPr>
        <w:spacing w:before="0" w:after="80" w:line="276" w:lineRule="auto"/>
      </w:pPr>
      <w:r>
        <w:rPr>
          <w:rFonts w:ascii="Calibri" w:hAnsi="Calibri"/>
          <w:color w:val="0F172A"/>
          <w:sz w:val="20"/>
        </w:rPr>
        <w:t>In digital payment operations, transaction reconciliation across multiple banking and Payment Gateway (PG) partners is vital to ensure zero revenue leakage, strict regulatory compliance, and timely merchant settlements. Prior to the Ops_Auto project, SwinkPay operations relied on manual spreadsheet comparisons, disparate VLOOKUP formulas, manual Postman API calls for missing transactions, and tedious manual updates in CMS.</w:t>
      </w:r>
    </w:p>
    <w:p>
      <w:pPr>
        <w:spacing w:before="0" w:after="80" w:line="276" w:lineRule="auto"/>
      </w:pPr>
      <w:r>
        <w:rPr>
          <w:rFonts w:ascii="Calibri" w:hAnsi="Calibri"/>
          <w:color w:val="0F172A"/>
          <w:sz w:val="20"/>
        </w:rPr>
        <w:t>The Ops_Auto automation framework replaces these error-prone manual steps with a high-throughput, deterministic reconciliation and settlement engine. It guarantees 100% mathematical audit accuracy, automatic recovery of missing transactions via backend APIs without Postman, strict difference-to-zero validation, and automated multi-day bank settlement generation.</w:t>
      </w:r>
    </w:p>
    <w:tbl>
      <w:tblPr>
        <w:tblW w:type="auto" w:w="0"/>
        <w:jc w:val="center"/>
        <w:tblLayout w:type="fixed"/>
        <w:tblLook w:firstColumn="1" w:firstRow="1" w:lastColumn="0" w:lastRow="0" w:noHBand="0" w:noVBand="1" w:val="04A0"/>
      </w:tblPr>
      <w:tblGrid>
        <w:gridCol w:w="10080"/>
      </w:tblGrid>
      <w:tr>
        <w:tc>
          <w:tcPr>
            <w:tcW w:type="dxa" w:w="9360"/>
            <w:tcMar>
              <w:top w:w="140" w:type="dxa"/>
              <w:bottom w:w="140" w:type="dxa"/>
              <w:left w:w="180" w:type="dxa"/>
              <w:right w:w="160" w:type="dxa"/>
            </w:tcMar>
            <w:shd w:fill="ECFDF5"/>
            <w:tcBorders>
              <w:left w:val="single" w:sz="24" w:space="0" w:color="059669"/>
              <w:top w:val="none"/>
              <w:right w:val="none"/>
              <w:bottom w:val="none"/>
            </w:tcBorders>
          </w:tcPr>
          <w:p>
            <w:pPr>
              <w:spacing w:before="0" w:after="80"/>
            </w:pPr>
            <w:r>
              <w:rPr>
                <w:rFonts w:ascii="Calibri" w:hAnsi="Calibri"/>
                <w:b/>
                <w:color w:val="1E3A8A"/>
                <w:sz w:val="22"/>
              </w:rPr>
              <w:t>🚀 Core Value Proposition</w:t>
              <w:br/>
            </w:r>
            <w:r>
              <w:rPr>
                <w:rFonts w:ascii="Calibri" w:hAnsi="Calibri"/>
                <w:color w:val="0F172A"/>
                <w:sz w:val="19"/>
              </w:rPr>
              <w:t>1. Reduction in Daily Operational Time: From 3-5 hours daily down to under 60 seconds.</w:t>
              <w:br/>
              <w:t>2. Strict Audit Guarantee: Mathematical enforcement that Difference == 0.00 across all gateways.</w:t>
              <w:br/>
              <w:t>3. Complete Postman Elimination: 1-Click and One-Shot Direct Bulk API pulling for missing PG transactions.</w:t>
              <w:br/>
              <w:t>4. Automated Targeted Files: Instant generation of Sync_Transactions.xlsx for SMMS and Change_Network.xlsx for CMS.</w:t>
            </w:r>
          </w:p>
        </w:tc>
      </w:tr>
    </w:tbl>
    <w:p>
      <w:pPr>
        <w:spacing w:before="0" w:after="80"/>
      </w:pPr>
    </w:p>
    <w:p>
      <w:pPr>
        <w:pStyle w:val="Heading1"/>
        <w:keepNext/>
        <w:spacing w:before="280" w:after="80"/>
      </w:pPr>
      <w:r>
        <w:rPr>
          <w:rFonts w:ascii="Calibri" w:hAnsi="Calibri"/>
          <w:b/>
          <w:color w:val="1E3A8A"/>
          <w:sz w:val="32"/>
        </w:rPr>
        <w:t>2. Chronological Milestones: Everything Done Entirely</w:t>
      </w:r>
    </w:p>
    <w:p>
      <w:pPr>
        <w:spacing w:before="0" w:after="80" w:line="276" w:lineRule="auto"/>
      </w:pPr>
      <w:r>
        <w:rPr>
          <w:rFonts w:ascii="Calibri" w:hAnsi="Calibri"/>
          <w:color w:val="0F172A"/>
          <w:sz w:val="20"/>
        </w:rPr>
        <w:t>Below is the complete, comprehensive technical breakdown of every milestone, architectural enhancement, and operational feature developed throughout this project:</w:t>
      </w:r>
    </w:p>
    <w:p>
      <w:pPr>
        <w:pStyle w:val="Heading2"/>
        <w:keepNext/>
        <w:spacing w:before="200" w:after="60"/>
      </w:pPr>
      <w:r>
        <w:rPr>
          <w:rFonts w:ascii="Calibri" w:hAnsi="Calibri"/>
          <w:b/>
          <w:color w:val="1A73E8"/>
          <w:sz w:val="26"/>
        </w:rPr>
        <w:t>Milestone 1: The Core Multi-Way Matching Engine</w:t>
      </w:r>
    </w:p>
    <w:p>
      <w:pPr>
        <w:spacing w:before="0" w:after="80" w:line="276" w:lineRule="auto"/>
      </w:pPr>
      <w:r>
        <w:rPr>
          <w:rFonts w:ascii="Calibri" w:hAnsi="Calibri"/>
          <w:color w:val="0F172A"/>
          <w:sz w:val="20"/>
        </w:rPr>
        <w:t>Architected and built an in-memory hash-indexed multi-way matching engine (core/matcher.py) that ingests and reconciles 5 primary transaction reports simultaneously:</w:t>
      </w:r>
    </w:p>
    <w:p>
      <w:pPr>
        <w:spacing w:before="0" w:after="80" w:line="276" w:lineRule="auto"/>
      </w:pPr>
      <w:r>
        <w:rPr>
          <w:rFonts w:ascii="Calibri" w:hAnsi="Calibri"/>
          <w:color w:val="0F172A"/>
          <w:sz w:val="20"/>
        </w:rPr>
        <w:t>• CMS &lt;--&gt; SMMS: Reconciled on Bank RRN/UTR and SwinkPay Transaction ID.</w:t>
      </w:r>
    </w:p>
    <w:p>
      <w:pPr>
        <w:spacing w:before="0" w:after="80" w:line="276" w:lineRule="auto"/>
      </w:pPr>
      <w:r>
        <w:rPr>
          <w:rFonts w:ascii="Calibri" w:hAnsi="Calibri"/>
          <w:color w:val="0F172A"/>
          <w:sz w:val="20"/>
        </w:rPr>
        <w:t>• CMS &lt;--&gt; Cashfree: Reconciled on Bank Reference Number (UTR) and Order ID.</w:t>
      </w:r>
    </w:p>
    <w:p>
      <w:pPr>
        <w:spacing w:before="0" w:after="80" w:line="276" w:lineRule="auto"/>
      </w:pPr>
      <w:r>
        <w:rPr>
          <w:rFonts w:ascii="Calibri" w:hAnsi="Calibri"/>
          <w:color w:val="0F172A"/>
          <w:sz w:val="20"/>
        </w:rPr>
        <w:t>• CMS &lt;--&gt; Easebuzz: Reconciled on Bank Ref No / UTR.</w:t>
      </w:r>
    </w:p>
    <w:p>
      <w:pPr>
        <w:spacing w:before="0" w:after="80" w:line="276" w:lineRule="auto"/>
      </w:pPr>
      <w:r>
        <w:rPr>
          <w:rFonts w:ascii="Calibri" w:hAnsi="Calibri"/>
          <w:color w:val="0F172A"/>
          <w:sz w:val="20"/>
        </w:rPr>
        <w:t>• CMS &lt;--&gt; Airtel Payments Bank: Reconciled on Partner Reference ID and Bank Reference No.</w:t>
      </w:r>
    </w:p>
    <w:p>
      <w:pPr>
        <w:spacing w:before="0" w:after="80" w:line="276" w:lineRule="auto"/>
      </w:pPr>
      <w:r>
        <w:rPr>
          <w:rFonts w:ascii="Calibri" w:hAnsi="Calibri"/>
          <w:color w:val="0F172A"/>
          <w:sz w:val="20"/>
        </w:rPr>
        <w:t>• Airtel Transaction &lt;--&gt; Airtel Settlement: Secondary settlement verification on UTR and Net Credit Amount.</w:t>
      </w:r>
    </w:p>
    <w:p>
      <w:pPr>
        <w:spacing w:before="0" w:after="80" w:line="276" w:lineRule="auto"/>
      </w:pPr>
      <w:r>
        <w:rPr>
          <w:rFonts w:ascii="Calibri" w:hAnsi="Calibri"/>
          <w:color w:val="0F172A"/>
          <w:sz w:val="20"/>
        </w:rPr>
        <w:t>Created the dynamic header-signature detector (core/detector.py), which analyzes column fingerprints in milliseconds to detect report types without relying on filenames.</w:t>
      </w:r>
    </w:p>
    <w:p>
      <w:pPr>
        <w:pStyle w:val="Heading2"/>
        <w:keepNext/>
        <w:spacing w:before="200" w:after="60"/>
      </w:pPr>
      <w:r>
        <w:rPr>
          <w:rFonts w:ascii="Calibri" w:hAnsi="Calibri"/>
          <w:b/>
          <w:color w:val="1A73E8"/>
          <w:sz w:val="26"/>
        </w:rPr>
        <w:t>Milestone 2: 18-Sheet Reconciliation Master Workbook &amp; Settlement Generation</w:t>
      </w:r>
    </w:p>
    <w:p>
      <w:pPr>
        <w:spacing w:before="0" w:after="80" w:line="276" w:lineRule="auto"/>
      </w:pPr>
      <w:r>
        <w:rPr>
          <w:rFonts w:ascii="Calibri" w:hAnsi="Calibri"/>
          <w:color w:val="0F172A"/>
          <w:sz w:val="20"/>
        </w:rPr>
        <w:t>Developed the Excel builder (core/excel_builder.py) to generate the master 18-sheet audit workbook (XCD_Reconciliation_YYYY-MM-DD.xlsx) preserving complete raw data, matched subsets, unmatched gateway records, status conflicts, and financial summaries.</w:t>
      </w:r>
    </w:p>
    <w:p>
      <w:pPr>
        <w:spacing w:before="0" w:after="80" w:line="276" w:lineRule="auto"/>
      </w:pPr>
      <w:r>
        <w:rPr>
          <w:rFonts w:ascii="Calibri" w:hAnsi="Calibri"/>
          <w:color w:val="0F172A"/>
          <w:sz w:val="20"/>
        </w:rPr>
        <w:t>Built partner bank settlement workbooks (core/xcd_builder.py) and enforced the strict Difference-to-Zero Audit Gate (core/xcd_validator.py):</w:t>
      </w:r>
    </w:p>
    <w:tbl>
      <w:tblPr>
        <w:tblW w:type="auto" w:w="0"/>
        <w:jc w:val="center"/>
        <w:tblLayout w:type="fixed"/>
        <w:tblLook w:firstColumn="1" w:firstRow="1" w:lastColumn="0" w:lastRow="0" w:noHBand="0" w:noVBand="1" w:val="04A0"/>
      </w:tblPr>
      <w:tblGrid>
        <w:gridCol w:w="10080"/>
      </w:tblGrid>
      <w:tr>
        <w:tc>
          <w:tcPr>
            <w:tcW w:type="dxa" w:w="9360"/>
            <w:tcMar>
              <w:top w:w="100" w:type="dxa"/>
              <w:bottom w:w="100" w:type="dxa"/>
              <w:left w:w="140" w:type="dxa"/>
              <w:right w:w="140" w:type="dxa"/>
            </w:tcMar>
            <w:shd w:fill="0F172A"/>
          </w:tcPr>
          <w:p>
            <w:pPr>
              <w:spacing w:before="0" w:after="0"/>
            </w:pPr>
            <w:r>
              <w:rPr>
                <w:rFonts w:ascii="Consolas" w:hAnsi="Consolas"/>
                <w:color w:val="38BDF8"/>
                <w:sz w:val="17"/>
              </w:rPr>
              <w:t>Audit Formula:</w:t>
              <w:br/>
              <w:t>Difference = Gross Amount - PSP Charges - GST - Net Credit Amount == 0.00</w:t>
              <w:br/>
              <w:t>If |Difference| &gt; 0.00 -&gt; System halts settlement release and flags audit alert.</w:t>
            </w:r>
          </w:p>
        </w:tc>
      </w:tr>
    </w:tbl>
    <w:p>
      <w:pPr>
        <w:spacing w:after="80"/>
      </w:pPr>
    </w:p>
    <w:p>
      <w:pPr>
        <w:pStyle w:val="Heading2"/>
        <w:keepNext/>
        <w:spacing w:before="200" w:after="60"/>
      </w:pPr>
      <w:r>
        <w:rPr>
          <w:rFonts w:ascii="Calibri" w:hAnsi="Calibri"/>
          <w:b/>
          <w:color w:val="1A73E8"/>
          <w:sz w:val="26"/>
        </w:rPr>
        <w:t>Milestone 3: Multi-Merchant Architecture &amp; Dynamic Registry</w:t>
      </w:r>
    </w:p>
    <w:p>
      <w:pPr>
        <w:spacing w:before="0" w:after="80" w:line="276" w:lineRule="auto"/>
      </w:pPr>
      <w:r>
        <w:rPr>
          <w:rFonts w:ascii="Calibri" w:hAnsi="Calibri"/>
          <w:color w:val="0F172A"/>
          <w:sz w:val="20"/>
        </w:rPr>
        <w:t>Expanded the engine from single-merchant processing to an enterprise multi-merchant architecture (core/merchant.py) supporting CCD Value Express, SBB Medicare, AGS (Advance Genuine Spares), and custom XCD single settlement profiles with dynamic onboarding modals and persistent metadata storage.</w:t>
      </w:r>
    </w:p>
    <w:p>
      <w:pPr>
        <w:pStyle w:val="Heading2"/>
        <w:keepNext/>
        <w:spacing w:before="200" w:after="60"/>
      </w:pPr>
      <w:r>
        <w:rPr>
          <w:rFonts w:ascii="Calibri" w:hAnsi="Calibri"/>
          <w:b/>
          <w:color w:val="1A73E8"/>
          <w:sz w:val="26"/>
        </w:rPr>
        <w:t>Milestone 4: Terminal Directory (TID_FILE) &amp; Middle Number Parsing</w:t>
      </w:r>
    </w:p>
    <w:p>
      <w:pPr>
        <w:spacing w:before="0" w:after="80" w:line="276" w:lineRule="auto"/>
      </w:pPr>
      <w:r>
        <w:rPr>
          <w:rFonts w:ascii="Calibri" w:hAnsi="Calibri"/>
          <w:color w:val="0F172A"/>
          <w:sz w:val="20"/>
        </w:rPr>
        <w:t>Implemented terminal mapping management (core/terminal_mapper.py) that parses Cashfree middle numbers from Order IDs (e.g. extracting 4860 from 330595-4860-AXI...) and automatically resolves the Master Terminal ID (e.g. 141001117), MMS Terminal ID (e.g. XKD8M3), and Store Name.</w:t>
      </w:r>
    </w:p>
    <w:p>
      <w:pPr>
        <w:pStyle w:val="Heading2"/>
        <w:keepNext/>
        <w:spacing w:before="200" w:after="60"/>
      </w:pPr>
      <w:r>
        <w:rPr>
          <w:rFonts w:ascii="Calibri" w:hAnsi="Calibri"/>
          <w:b/>
          <w:color w:val="1A73E8"/>
          <w:sz w:val="26"/>
        </w:rPr>
        <w:t>Milestone 5: Eliminating Postman — Missing Transaction Recovery API</w:t>
      </w:r>
    </w:p>
    <w:p>
      <w:pPr>
        <w:spacing w:before="0" w:after="80" w:line="276" w:lineRule="auto"/>
      </w:pPr>
      <w:r>
        <w:rPr>
          <w:rFonts w:ascii="Calibri" w:hAnsi="Calibri"/>
          <w:color w:val="0F172A"/>
          <w:sz w:val="20"/>
        </w:rPr>
        <w:t>Integrated the dashboard directly with the SwinkPay Decision API (https://merchants.swinkpay-fintech.com/api/v2/decision/updated). Built core/pg_payload_builder.py to construct valid Decision Updated payloads. Added the Postman Live Telemetry Inspector inside the dashboard UI to render real-time HTTP response tags (200 OK), latency (ms), SwinkPay Transaction IDs, and formatted response bodies.</w:t>
      </w:r>
    </w:p>
    <w:p>
      <w:pPr>
        <w:pStyle w:val="Heading2"/>
        <w:keepNext/>
        <w:spacing w:before="200" w:after="60"/>
      </w:pPr>
      <w:r>
        <w:rPr>
          <w:rFonts w:ascii="Calibri" w:hAnsi="Calibri"/>
          <w:b/>
          <w:color w:val="1A73E8"/>
          <w:sz w:val="26"/>
        </w:rPr>
        <w:t>Milestone 6: Cross-System Status Verification (PG vs CMS / SMMS)</w:t>
      </w:r>
    </w:p>
    <w:p>
      <w:pPr>
        <w:spacing w:before="0" w:after="80" w:line="276" w:lineRule="auto"/>
      </w:pPr>
      <w:r>
        <w:rPr>
          <w:rFonts w:ascii="Calibri" w:hAnsi="Calibri"/>
          <w:color w:val="0F172A"/>
          <w:sz w:val="20"/>
        </w:rPr>
        <w:t>Added cross-system checks to detect where the Payment Gateway is 'Success' (customer charged), but CMS or SMMS records it as 'Failed' or 'Pending'. Surfaced a dedicated conflict view on the main dashboard showing Gateway Name, Gateway Status, CMS Status, SMMS Status, SwinkPay Txn ID, Bank UTR, Amount, and Outlet Name.</w:t>
      </w:r>
    </w:p>
    <w:p>
      <w:pPr>
        <w:pStyle w:val="Heading2"/>
        <w:keepNext/>
        <w:spacing w:before="200" w:after="60"/>
      </w:pPr>
      <w:r>
        <w:rPr>
          <w:rFonts w:ascii="Calibri" w:hAnsi="Calibri"/>
          <w:b/>
          <w:color w:val="1A73E8"/>
          <w:sz w:val="26"/>
        </w:rPr>
        <w:t>Milestone 7: SMMS Sync Automation (Sync_Transactions.xlsx)</w:t>
      </w:r>
    </w:p>
    <w:p>
      <w:pPr>
        <w:spacing w:before="0" w:after="80" w:line="276" w:lineRule="auto"/>
      </w:pPr>
      <w:r>
        <w:rPr>
          <w:rFonts w:ascii="Calibri" w:hAnsi="Calibri"/>
          <w:color w:val="0F172A"/>
          <w:sz w:val="20"/>
        </w:rPr>
        <w:t>Enforced the critical operational rule: If a transaction exists in CMS but has SMMS Sync Status = false, do NOT pull from the gateway. Instead, automatically package these records into Sync_Transactions_YYYY-MM-DD.xlsx (core/sync_builder.py) for direct bulk upload to the CMS/SMMS admin portal.</w:t>
      </w:r>
    </w:p>
    <w:p>
      <w:pPr>
        <w:pStyle w:val="Heading2"/>
        <w:keepNext/>
        <w:spacing w:before="200" w:after="60"/>
      </w:pPr>
      <w:r>
        <w:rPr>
          <w:rFonts w:ascii="Calibri" w:hAnsi="Calibri"/>
          <w:b/>
          <w:color w:val="1A73E8"/>
          <w:sz w:val="26"/>
        </w:rPr>
        <w:t>Milestone 8: Semantic Network Misclassification Engine &amp; Guidance Banner</w:t>
      </w:r>
    </w:p>
    <w:p>
      <w:pPr>
        <w:spacing w:before="0" w:after="80" w:line="276" w:lineRule="auto"/>
      </w:pPr>
      <w:r>
        <w:rPr>
          <w:rFonts w:ascii="Calibri" w:hAnsi="Calibri"/>
          <w:color w:val="0F172A"/>
          <w:sz w:val="20"/>
        </w:rPr>
        <w:t>Built core/network_builder.py to filter false positive network changes (UPI == UPI_OFFLINE_STATIC) while targeting genuine interchange changes (RUPAY -&gt; UPI_CREDIT_CARD_OFFLINE_STATIC, WA -&gt; UPI_PPI_OFFLINE_STATIC) into Change_Network_YYYY-MM-DD.xlsx. Displayed explicit operational guidance:</w:t>
      </w:r>
    </w:p>
    <w:tbl>
      <w:tblPr>
        <w:tblW w:type="auto" w:w="0"/>
        <w:jc w:val="center"/>
        <w:tblLayout w:type="fixed"/>
        <w:tblLook w:firstColumn="1" w:firstRow="1" w:lastColumn="0" w:lastRow="0" w:noHBand="0" w:noVBand="1" w:val="04A0"/>
      </w:tblPr>
      <w:tblGrid>
        <w:gridCol w:w="10080"/>
      </w:tblGrid>
      <w:tr>
        <w:tc>
          <w:tcPr>
            <w:tcW w:type="dxa" w:w="9360"/>
            <w:tcMar>
              <w:top w:w="140" w:type="dxa"/>
              <w:bottom w:w="140" w:type="dxa"/>
              <w:left w:w="180" w:type="dxa"/>
              <w:right w:w="160" w:type="dxa"/>
            </w:tcMar>
            <w:shd w:fill="FFFBEB"/>
            <w:tcBorders>
              <w:left w:val="single" w:sz="24" w:space="0" w:color="D97706"/>
              <w:top w:val="none"/>
              <w:right w:val="none"/>
              <w:bottom w:val="none"/>
            </w:tcBorders>
          </w:tcPr>
          <w:p>
            <w:pPr>
              <w:spacing w:before="0" w:after="80"/>
            </w:pPr>
            <w:r>
              <w:rPr>
                <w:rFonts w:ascii="Calibri" w:hAnsi="Calibri"/>
                <w:b/>
                <w:color w:val="1E3A8A"/>
                <w:sz w:val="22"/>
              </w:rPr>
              <w:t>⚠️ CMS Action Instruction Banner</w:t>
              <w:br/>
            </w:r>
            <w:r>
              <w:rPr>
                <w:rFonts w:ascii="Calibri" w:hAnsi="Calibri"/>
                <w:color w:val="0F172A"/>
                <w:sz w:val="19"/>
              </w:rPr>
              <w:t>"Upload this file in CMS to change network. If network doesn't change even after uploading, there is a new network we need to configure and reupload the files here."</w:t>
            </w:r>
          </w:p>
        </w:tc>
      </w:tr>
    </w:tbl>
    <w:p>
      <w:pPr>
        <w:spacing w:before="0" w:after="80"/>
      </w:pPr>
    </w:p>
    <w:p>
      <w:pPr>
        <w:pStyle w:val="Heading2"/>
        <w:keepNext/>
        <w:spacing w:before="200" w:after="60"/>
      </w:pPr>
      <w:r>
        <w:rPr>
          <w:rFonts w:ascii="Calibri" w:hAnsi="Calibri"/>
          <w:b/>
          <w:color w:val="1A73E8"/>
          <w:sz w:val="26"/>
        </w:rPr>
        <w:t>Milestone 9: Automated 12-Digit UTR Zero-Padding</w:t>
      </w:r>
    </w:p>
    <w:p>
      <w:pPr>
        <w:spacing w:before="0" w:after="80" w:line="276" w:lineRule="auto"/>
      </w:pPr>
      <w:r>
        <w:rPr>
          <w:rFonts w:ascii="Calibri" w:hAnsi="Calibri"/>
          <w:color w:val="0F172A"/>
          <w:sz w:val="20"/>
        </w:rPr>
        <w:t>Implemented automatic sanitization to prepend leading zeros to any UTR shorter than 12 digits (e.g. 6789876543 -&gt; 006789876543), preventing Decision API pull failures caused by non-standard banking strings.</w:t>
      </w:r>
    </w:p>
    <w:p>
      <w:pPr>
        <w:pStyle w:val="Heading2"/>
        <w:keepNext/>
        <w:spacing w:before="200" w:after="60"/>
      </w:pPr>
      <w:r>
        <w:rPr>
          <w:rFonts w:ascii="Calibri" w:hAnsi="Calibri"/>
          <w:b/>
          <w:color w:val="1A73E8"/>
          <w:sz w:val="26"/>
        </w:rPr>
        <w:t>Milestone 10: Standalone Direct PG Report Upload &amp; One-Shot Pull</w:t>
      </w:r>
    </w:p>
    <w:p>
      <w:pPr>
        <w:spacing w:before="0" w:after="80" w:line="276" w:lineRule="auto"/>
      </w:pPr>
      <w:r>
        <w:rPr>
          <w:rFonts w:ascii="Calibri" w:hAnsi="Calibri"/>
          <w:color w:val="0F172A"/>
          <w:sz w:val="20"/>
        </w:rPr>
        <w:t>Added a dedicated tool allowing operators to drop any full gateway report (Easebuzz, Cashfree, Airtel, or CSV) with merchant mapping context, preview all rows, and pull all records to the Decision API in 1 shot with a real-time progress bar.</w:t>
      </w:r>
    </w:p>
    <w:p>
      <w:pPr>
        <w:pStyle w:val="Heading2"/>
        <w:keepNext/>
        <w:spacing w:before="200" w:after="60"/>
      </w:pPr>
      <w:r>
        <w:rPr>
          <w:rFonts w:ascii="Calibri" w:hAnsi="Calibri"/>
          <w:b/>
          <w:color w:val="1A73E8"/>
          <w:sz w:val="26"/>
        </w:rPr>
        <w:t>Milestone 11: Section De-Duplication &amp; UI Streamlining</w:t>
      </w:r>
    </w:p>
    <w:p>
      <w:pPr>
        <w:spacing w:before="0" w:after="80" w:line="276" w:lineRule="auto"/>
      </w:pPr>
      <w:r>
        <w:rPr>
          <w:rFonts w:ascii="Calibri" w:hAnsi="Calibri"/>
          <w:color w:val="0F172A"/>
          <w:sz w:val="20"/>
        </w:rPr>
        <w:t>Cleaned up the 'Pull Missing Transactions' section by removing the duplicate reconciliation queue, dedicating this section 100% to standalone direct PG report uploads and one-shot pulling. Maintained the reconciliation missing transactions table exclusively on the main dashboard.</w:t>
      </w:r>
    </w:p>
    <w:p>
      <w:pPr>
        <w:pStyle w:val="Heading2"/>
        <w:keepNext/>
        <w:spacing w:before="200" w:after="60"/>
      </w:pPr>
      <w:r>
        <w:rPr>
          <w:rFonts w:ascii="Calibri" w:hAnsi="Calibri"/>
          <w:b/>
          <w:color w:val="1A73E8"/>
          <w:sz w:val="26"/>
        </w:rPr>
        <w:t>Milestone 12: Bug Fixes &amp; State Persistence</w:t>
      </w:r>
    </w:p>
    <w:p>
      <w:pPr>
        <w:spacing w:before="0" w:after="80" w:line="276" w:lineRule="auto"/>
      </w:pPr>
      <w:r>
        <w:rPr>
          <w:rFonts w:ascii="Calibri" w:hAnsi="Calibri"/>
          <w:color w:val="0F172A"/>
          <w:sz w:val="20"/>
        </w:rPr>
        <w:t>• Fixed Reconciliation Workbook Download Bug: Resolved issue where the raw SMMS report was downloading instead of the generated reconciliation workbook.</w:t>
        <w:br/>
        <w:t>• State Loss on Refresh: Added localStorage persistence for the active tab, selected merchant, and credentials. Added HTTP anti-caching headers.</w:t>
        <w:br/>
        <w:t>• Dropdown Initialization Bug: Removed orphaned function call that broke dropdown initialization on startup.</w:t>
      </w:r>
    </w:p>
    <w:p>
      <w:pPr>
        <w:pStyle w:val="Heading2"/>
        <w:keepNext/>
        <w:spacing w:before="200" w:after="60"/>
      </w:pPr>
      <w:r>
        <w:rPr>
          <w:rFonts w:ascii="Calibri" w:hAnsi="Calibri"/>
          <w:b/>
          <w:color w:val="1A73E8"/>
          <w:sz w:val="26"/>
        </w:rPr>
        <w:t>Milestone 13: Complete Documentation, Visual Assets &amp; GitHub Overhaul</w:t>
      </w:r>
    </w:p>
    <w:p>
      <w:pPr>
        <w:spacing w:before="0" w:after="80" w:line="276" w:lineRule="auto"/>
      </w:pPr>
      <w:r>
        <w:rPr>
          <w:rFonts w:ascii="Calibri" w:hAnsi="Calibri"/>
          <w:color w:val="0F172A"/>
          <w:sz w:val="20"/>
        </w:rPr>
        <w:t>Rewrote README.md on GitHub covering all 11 required sections (Problem, Architecture, Tech Stack, How it Works, 24 REST APIs, Database, Sample I/O, Screenshots, How to Run, Future Improvements), archived 5 production UI screenshots in docs/screenshots/, and created comprehensive SOP guides.</w:t>
      </w:r>
    </w:p>
    <w:p>
      <w:pPr>
        <w:pStyle w:val="Heading1"/>
        <w:keepNext/>
        <w:spacing w:before="280" w:after="80"/>
      </w:pPr>
      <w:r>
        <w:rPr>
          <w:rFonts w:ascii="Calibri" w:hAnsi="Calibri"/>
          <w:b/>
          <w:color w:val="1E3A8A"/>
          <w:sz w:val="32"/>
        </w:rPr>
        <w:t>3. Comparative Analysis: Before vs. After Ops_Auto</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360"/>
        <w:gridCol w:w="3360"/>
        <w:gridCol w:w="3360"/>
      </w:tblGrid>
      <w:tr>
        <w:tc>
          <w:tcPr>
            <w:tcW w:type="dxa" w:w="2592"/>
            <w:shd w:fill="1E3A8A"/>
            <w:tcMar>
              <w:top w:w="120" w:type="dxa"/>
              <w:bottom w:w="120" w:type="dxa"/>
              <w:left w:w="120" w:type="dxa"/>
              <w:right w:w="120" w:type="dxa"/>
            </w:tcMar>
          </w:tcPr>
          <w:p>
            <w:pPr>
              <w:jc w:val="left"/>
            </w:pPr>
            <w:r>
              <w:rPr>
                <w:rFonts w:ascii="Calibri" w:hAnsi="Calibri"/>
                <w:b/>
                <w:color w:val="FFFFFF"/>
                <w:sz w:val="19"/>
              </w:rPr>
              <w:t>Operational Dimension</w:t>
            </w:r>
          </w:p>
        </w:tc>
        <w:tc>
          <w:tcPr>
            <w:tcW w:type="dxa" w:w="3312"/>
            <w:shd w:fill="1E3A8A"/>
            <w:tcMar>
              <w:top w:w="120" w:type="dxa"/>
              <w:bottom w:w="120" w:type="dxa"/>
              <w:left w:w="120" w:type="dxa"/>
              <w:right w:w="120" w:type="dxa"/>
            </w:tcMar>
          </w:tcPr>
          <w:p>
            <w:pPr>
              <w:jc w:val="left"/>
            </w:pPr>
            <w:r>
              <w:rPr>
                <w:rFonts w:ascii="Calibri" w:hAnsi="Calibri"/>
                <w:b/>
                <w:color w:val="FFFFFF"/>
                <w:sz w:val="19"/>
              </w:rPr>
              <w:t>Before (Manual Workflow)</w:t>
            </w:r>
          </w:p>
        </w:tc>
        <w:tc>
          <w:tcPr>
            <w:tcW w:type="dxa" w:w="3456"/>
            <w:shd w:fill="1E3A8A"/>
            <w:tcMar>
              <w:top w:w="120" w:type="dxa"/>
              <w:bottom w:w="120" w:type="dxa"/>
              <w:left w:w="120" w:type="dxa"/>
              <w:right w:w="120" w:type="dxa"/>
            </w:tcMar>
          </w:tcPr>
          <w:p>
            <w:pPr>
              <w:jc w:val="left"/>
            </w:pPr>
            <w:r>
              <w:rPr>
                <w:rFonts w:ascii="Calibri" w:hAnsi="Calibri"/>
                <w:b/>
                <w:color w:val="FFFFFF"/>
                <w:sz w:val="19"/>
              </w:rPr>
              <w:t>After (Ops_Auto Platform)</w:t>
            </w:r>
          </w:p>
        </w:tc>
      </w:tr>
      <w:tr>
        <w:tc>
          <w:tcPr>
            <w:tcW w:type="dxa" w:w="2592"/>
            <w:shd w:fill="FFFFFF"/>
            <w:tcMar>
              <w:top w:w="80" w:type="dxa"/>
              <w:bottom w:w="80" w:type="dxa"/>
              <w:left w:w="120" w:type="dxa"/>
              <w:right w:w="120" w:type="dxa"/>
            </w:tcMar>
          </w:tcPr>
          <w:p>
            <w:r>
              <w:rPr>
                <w:rFonts w:ascii="Calibri" w:hAnsi="Calibri"/>
                <w:color w:val="0F172A"/>
                <w:sz w:val="18"/>
              </w:rPr>
              <w:t>Reconciliation Time</w:t>
            </w:r>
          </w:p>
        </w:tc>
        <w:tc>
          <w:tcPr>
            <w:tcW w:type="dxa" w:w="3312"/>
            <w:shd w:fill="FFFFFF"/>
            <w:tcMar>
              <w:top w:w="80" w:type="dxa"/>
              <w:bottom w:w="80" w:type="dxa"/>
              <w:left w:w="120" w:type="dxa"/>
              <w:right w:w="120" w:type="dxa"/>
            </w:tcMar>
          </w:tcPr>
          <w:p>
            <w:r>
              <w:rPr>
                <w:rFonts w:ascii="Calibri" w:hAnsi="Calibri"/>
                <w:color w:val="0F172A"/>
                <w:sz w:val="18"/>
              </w:rPr>
              <w:t>3 to 5 hours daily across spreadsheets</w:t>
            </w:r>
          </w:p>
        </w:tc>
        <w:tc>
          <w:tcPr>
            <w:tcW w:type="dxa" w:w="3456"/>
            <w:shd w:fill="FFFFFF"/>
            <w:tcMar>
              <w:top w:w="80" w:type="dxa"/>
              <w:bottom w:w="80" w:type="dxa"/>
              <w:left w:w="120" w:type="dxa"/>
              <w:right w:w="120" w:type="dxa"/>
            </w:tcMar>
          </w:tcPr>
          <w:p>
            <w:r>
              <w:rPr>
                <w:rFonts w:ascii="Calibri" w:hAnsi="Calibri"/>
                <w:color w:val="0F172A"/>
                <w:sz w:val="18"/>
              </w:rPr>
              <w:t>&lt; 60 seconds end-to-end execution</w:t>
            </w:r>
          </w:p>
        </w:tc>
      </w:tr>
      <w:tr>
        <w:tc>
          <w:tcPr>
            <w:tcW w:type="dxa" w:w="2592"/>
            <w:shd w:fill="F8FAFC"/>
            <w:tcMar>
              <w:top w:w="80" w:type="dxa"/>
              <w:bottom w:w="80" w:type="dxa"/>
              <w:left w:w="120" w:type="dxa"/>
              <w:right w:w="120" w:type="dxa"/>
            </w:tcMar>
          </w:tcPr>
          <w:p>
            <w:r>
              <w:rPr>
                <w:rFonts w:ascii="Calibri" w:hAnsi="Calibri"/>
                <w:color w:val="0F172A"/>
                <w:sz w:val="18"/>
              </w:rPr>
              <w:t>Matching Accuracy</w:t>
            </w:r>
          </w:p>
        </w:tc>
        <w:tc>
          <w:tcPr>
            <w:tcW w:type="dxa" w:w="3312"/>
            <w:shd w:fill="F8FAFC"/>
            <w:tcMar>
              <w:top w:w="80" w:type="dxa"/>
              <w:bottom w:w="80" w:type="dxa"/>
              <w:left w:w="120" w:type="dxa"/>
              <w:right w:w="120" w:type="dxa"/>
            </w:tcMar>
          </w:tcPr>
          <w:p>
            <w:r>
              <w:rPr>
                <w:rFonts w:ascii="Calibri" w:hAnsi="Calibri"/>
                <w:color w:val="0F172A"/>
                <w:sz w:val="18"/>
              </w:rPr>
              <w:t>Manual VLOOKUPs prone to human error</w:t>
            </w:r>
          </w:p>
        </w:tc>
        <w:tc>
          <w:tcPr>
            <w:tcW w:type="dxa" w:w="3456"/>
            <w:shd w:fill="F8FAFC"/>
            <w:tcMar>
              <w:top w:w="80" w:type="dxa"/>
              <w:bottom w:w="80" w:type="dxa"/>
              <w:left w:w="120" w:type="dxa"/>
              <w:right w:w="120" w:type="dxa"/>
            </w:tcMar>
          </w:tcPr>
          <w:p>
            <w:r>
              <w:rPr>
                <w:rFonts w:ascii="Calibri" w:hAnsi="Calibri"/>
                <w:color w:val="0F172A"/>
                <w:sz w:val="18"/>
              </w:rPr>
              <w:t>100% deterministic in-memory hash matching</w:t>
            </w:r>
          </w:p>
        </w:tc>
      </w:tr>
      <w:tr>
        <w:tc>
          <w:tcPr>
            <w:tcW w:type="dxa" w:w="2592"/>
            <w:shd w:fill="FFFFFF"/>
            <w:tcMar>
              <w:top w:w="80" w:type="dxa"/>
              <w:bottom w:w="80" w:type="dxa"/>
              <w:left w:w="120" w:type="dxa"/>
              <w:right w:w="120" w:type="dxa"/>
            </w:tcMar>
          </w:tcPr>
          <w:p>
            <w:r>
              <w:rPr>
                <w:rFonts w:ascii="Calibri" w:hAnsi="Calibri"/>
                <w:color w:val="0F172A"/>
                <w:sz w:val="18"/>
              </w:rPr>
              <w:t>Missing PG Recovery</w:t>
            </w:r>
          </w:p>
        </w:tc>
        <w:tc>
          <w:tcPr>
            <w:tcW w:type="dxa" w:w="3312"/>
            <w:shd w:fill="FFFFFF"/>
            <w:tcMar>
              <w:top w:w="80" w:type="dxa"/>
              <w:bottom w:w="80" w:type="dxa"/>
              <w:left w:w="120" w:type="dxa"/>
              <w:right w:w="120" w:type="dxa"/>
            </w:tcMar>
          </w:tcPr>
          <w:p>
            <w:r>
              <w:rPr>
                <w:rFonts w:ascii="Calibri" w:hAnsi="Calibri"/>
                <w:color w:val="0F172A"/>
                <w:sz w:val="18"/>
              </w:rPr>
              <w:t>Manual Postman calls; manual TID lookup</w:t>
            </w:r>
          </w:p>
        </w:tc>
        <w:tc>
          <w:tcPr>
            <w:tcW w:type="dxa" w:w="3456"/>
            <w:shd w:fill="FFFFFF"/>
            <w:tcMar>
              <w:top w:w="80" w:type="dxa"/>
              <w:bottom w:w="80" w:type="dxa"/>
              <w:left w:w="120" w:type="dxa"/>
              <w:right w:w="120" w:type="dxa"/>
            </w:tcMar>
          </w:tcPr>
          <w:p>
            <w:r>
              <w:rPr>
                <w:rFonts w:ascii="Calibri" w:hAnsi="Calibri"/>
                <w:color w:val="0F172A"/>
                <w:sz w:val="18"/>
              </w:rPr>
              <w:t>1-Click / One-Shot Automated API Pull</w:t>
            </w:r>
          </w:p>
        </w:tc>
      </w:tr>
      <w:tr>
        <w:tc>
          <w:tcPr>
            <w:tcW w:type="dxa" w:w="2592"/>
            <w:shd w:fill="F8FAFC"/>
            <w:tcMar>
              <w:top w:w="80" w:type="dxa"/>
              <w:bottom w:w="80" w:type="dxa"/>
              <w:left w:w="120" w:type="dxa"/>
              <w:right w:w="120" w:type="dxa"/>
            </w:tcMar>
          </w:tcPr>
          <w:p>
            <w:r>
              <w:rPr>
                <w:rFonts w:ascii="Calibri" w:hAnsi="Calibri"/>
                <w:color w:val="0F172A"/>
                <w:sz w:val="18"/>
              </w:rPr>
              <w:t>Bank UTR Formatting</w:t>
            </w:r>
          </w:p>
        </w:tc>
        <w:tc>
          <w:tcPr>
            <w:tcW w:type="dxa" w:w="3312"/>
            <w:shd w:fill="F8FAFC"/>
            <w:tcMar>
              <w:top w:w="80" w:type="dxa"/>
              <w:bottom w:w="80" w:type="dxa"/>
              <w:left w:w="120" w:type="dxa"/>
              <w:right w:w="120" w:type="dxa"/>
            </w:tcMar>
          </w:tcPr>
          <w:p>
            <w:r>
              <w:rPr>
                <w:rFonts w:ascii="Calibri" w:hAnsi="Calibri"/>
                <w:color w:val="0F172A"/>
                <w:sz w:val="18"/>
              </w:rPr>
              <w:t>Scientific notation errors &amp; missing zeros</w:t>
            </w:r>
          </w:p>
        </w:tc>
        <w:tc>
          <w:tcPr>
            <w:tcW w:type="dxa" w:w="3456"/>
            <w:shd w:fill="F8FAFC"/>
            <w:tcMar>
              <w:top w:w="80" w:type="dxa"/>
              <w:bottom w:w="80" w:type="dxa"/>
              <w:left w:w="120" w:type="dxa"/>
              <w:right w:w="120" w:type="dxa"/>
            </w:tcMar>
          </w:tcPr>
          <w:p>
            <w:r>
              <w:rPr>
                <w:rFonts w:ascii="Calibri" w:hAnsi="Calibri"/>
                <w:color w:val="0F172A"/>
                <w:sz w:val="18"/>
              </w:rPr>
              <w:t>Automated 12-digit zero-padding (006789876543)</w:t>
            </w:r>
          </w:p>
        </w:tc>
      </w:tr>
      <w:tr>
        <w:tc>
          <w:tcPr>
            <w:tcW w:type="dxa" w:w="2592"/>
            <w:shd w:fill="FFFFFF"/>
            <w:tcMar>
              <w:top w:w="80" w:type="dxa"/>
              <w:bottom w:w="80" w:type="dxa"/>
              <w:left w:w="120" w:type="dxa"/>
              <w:right w:w="120" w:type="dxa"/>
            </w:tcMar>
          </w:tcPr>
          <w:p>
            <w:r>
              <w:rPr>
                <w:rFonts w:ascii="Calibri" w:hAnsi="Calibri"/>
                <w:color w:val="0F172A"/>
                <w:sz w:val="18"/>
              </w:rPr>
              <w:t>Financial Audit Gate</w:t>
            </w:r>
          </w:p>
        </w:tc>
        <w:tc>
          <w:tcPr>
            <w:tcW w:type="dxa" w:w="3312"/>
            <w:shd w:fill="FFFFFF"/>
            <w:tcMar>
              <w:top w:w="80" w:type="dxa"/>
              <w:bottom w:w="80" w:type="dxa"/>
              <w:left w:w="120" w:type="dxa"/>
              <w:right w:w="120" w:type="dxa"/>
            </w:tcMar>
          </w:tcPr>
          <w:p>
            <w:r>
              <w:rPr>
                <w:rFonts w:ascii="Calibri" w:hAnsi="Calibri"/>
                <w:color w:val="0F172A"/>
                <w:sz w:val="18"/>
              </w:rPr>
              <w:t>Manual sums; high risk of balance mismatch</w:t>
            </w:r>
          </w:p>
        </w:tc>
        <w:tc>
          <w:tcPr>
            <w:tcW w:type="dxa" w:w="3456"/>
            <w:shd w:fill="FFFFFF"/>
            <w:tcMar>
              <w:top w:w="80" w:type="dxa"/>
              <w:bottom w:w="80" w:type="dxa"/>
              <w:left w:w="120" w:type="dxa"/>
              <w:right w:w="120" w:type="dxa"/>
            </w:tcMar>
          </w:tcPr>
          <w:p>
            <w:r>
              <w:rPr>
                <w:rFonts w:ascii="Calibri" w:hAnsi="Calibri"/>
                <w:color w:val="0F172A"/>
                <w:sz w:val="18"/>
              </w:rPr>
              <w:t>Strict Difference-to-Zero Gate (|Diff| == 0.00)</w:t>
            </w:r>
          </w:p>
        </w:tc>
      </w:tr>
      <w:tr>
        <w:tc>
          <w:tcPr>
            <w:tcW w:type="dxa" w:w="2592"/>
            <w:shd w:fill="F8FAFC"/>
            <w:tcMar>
              <w:top w:w="80" w:type="dxa"/>
              <w:bottom w:w="80" w:type="dxa"/>
              <w:left w:w="120" w:type="dxa"/>
              <w:right w:w="120" w:type="dxa"/>
            </w:tcMar>
          </w:tcPr>
          <w:p>
            <w:r>
              <w:rPr>
                <w:rFonts w:ascii="Calibri" w:hAnsi="Calibri"/>
                <w:color w:val="0F172A"/>
                <w:sz w:val="18"/>
              </w:rPr>
              <w:t>SMMS Sync Discrepancies</w:t>
            </w:r>
          </w:p>
        </w:tc>
        <w:tc>
          <w:tcPr>
            <w:tcW w:type="dxa" w:w="3312"/>
            <w:shd w:fill="F8FAFC"/>
            <w:tcMar>
              <w:top w:w="80" w:type="dxa"/>
              <w:bottom w:w="80" w:type="dxa"/>
              <w:left w:w="120" w:type="dxa"/>
              <w:right w:w="120" w:type="dxa"/>
            </w:tcMar>
          </w:tcPr>
          <w:p>
            <w:r>
              <w:rPr>
                <w:rFonts w:ascii="Calibri" w:hAnsi="Calibri"/>
                <w:color w:val="0F172A"/>
                <w:sz w:val="18"/>
              </w:rPr>
              <w:t>Unclear which rows failed SMMS sync</w:t>
            </w:r>
          </w:p>
        </w:tc>
        <w:tc>
          <w:tcPr>
            <w:tcW w:type="dxa" w:w="3456"/>
            <w:shd w:fill="F8FAFC"/>
            <w:tcMar>
              <w:top w:w="80" w:type="dxa"/>
              <w:bottom w:w="80" w:type="dxa"/>
              <w:left w:w="120" w:type="dxa"/>
              <w:right w:w="120" w:type="dxa"/>
            </w:tcMar>
          </w:tcPr>
          <w:p>
            <w:r>
              <w:rPr>
                <w:rFonts w:ascii="Calibri" w:hAnsi="Calibri"/>
                <w:color w:val="0F172A"/>
                <w:sz w:val="18"/>
              </w:rPr>
              <w:t>Auto-generated Sync_Transactions.xlsx</w:t>
            </w:r>
          </w:p>
        </w:tc>
      </w:tr>
      <w:tr>
        <w:tc>
          <w:tcPr>
            <w:tcW w:type="dxa" w:w="2592"/>
            <w:shd w:fill="FFFFFF"/>
            <w:tcMar>
              <w:top w:w="80" w:type="dxa"/>
              <w:bottom w:w="80" w:type="dxa"/>
              <w:left w:w="120" w:type="dxa"/>
              <w:right w:w="120" w:type="dxa"/>
            </w:tcMar>
          </w:tcPr>
          <w:p>
            <w:r>
              <w:rPr>
                <w:rFonts w:ascii="Calibri" w:hAnsi="Calibri"/>
                <w:color w:val="0F172A"/>
                <w:sz w:val="18"/>
              </w:rPr>
              <w:t>Network Misclassifications</w:t>
            </w:r>
          </w:p>
        </w:tc>
        <w:tc>
          <w:tcPr>
            <w:tcW w:type="dxa" w:w="3312"/>
            <w:shd w:fill="FFFFFF"/>
            <w:tcMar>
              <w:top w:w="80" w:type="dxa"/>
              <w:bottom w:w="80" w:type="dxa"/>
              <w:left w:w="120" w:type="dxa"/>
              <w:right w:w="120" w:type="dxa"/>
            </w:tcMar>
          </w:tcPr>
          <w:p>
            <w:r>
              <w:rPr>
                <w:rFonts w:ascii="Calibri" w:hAnsi="Calibri"/>
                <w:color w:val="0F172A"/>
                <w:sz w:val="18"/>
              </w:rPr>
              <w:t>Manual inspection of RuPay CC / Wallets</w:t>
            </w:r>
          </w:p>
        </w:tc>
        <w:tc>
          <w:tcPr>
            <w:tcW w:type="dxa" w:w="3456"/>
            <w:shd w:fill="FFFFFF"/>
            <w:tcMar>
              <w:top w:w="80" w:type="dxa"/>
              <w:bottom w:w="80" w:type="dxa"/>
              <w:left w:w="120" w:type="dxa"/>
              <w:right w:w="120" w:type="dxa"/>
            </w:tcMar>
          </w:tcPr>
          <w:p>
            <w:r>
              <w:rPr>
                <w:rFonts w:ascii="Calibri" w:hAnsi="Calibri"/>
                <w:color w:val="0F172A"/>
                <w:sz w:val="18"/>
              </w:rPr>
              <w:t>Auto-generated Change_Network.xlsx</w:t>
            </w:r>
          </w:p>
        </w:tc>
      </w:tr>
      <w:tr>
        <w:tc>
          <w:tcPr>
            <w:tcW w:type="dxa" w:w="2592"/>
            <w:shd w:fill="F8FAFC"/>
            <w:tcMar>
              <w:top w:w="80" w:type="dxa"/>
              <w:bottom w:w="80" w:type="dxa"/>
              <w:left w:w="120" w:type="dxa"/>
              <w:right w:w="120" w:type="dxa"/>
            </w:tcMar>
          </w:tcPr>
          <w:p>
            <w:r>
              <w:rPr>
                <w:rFonts w:ascii="Calibri" w:hAnsi="Calibri"/>
                <w:color w:val="0F172A"/>
                <w:sz w:val="18"/>
              </w:rPr>
              <w:t>Weekend Batch Splitting</w:t>
            </w:r>
          </w:p>
        </w:tc>
        <w:tc>
          <w:tcPr>
            <w:tcW w:type="dxa" w:w="3312"/>
            <w:shd w:fill="F8FAFC"/>
            <w:tcMar>
              <w:top w:w="80" w:type="dxa"/>
              <w:bottom w:w="80" w:type="dxa"/>
              <w:left w:w="120" w:type="dxa"/>
              <w:right w:w="120" w:type="dxa"/>
            </w:tcMar>
          </w:tcPr>
          <w:p>
            <w:r>
              <w:rPr>
                <w:rFonts w:ascii="Calibri" w:hAnsi="Calibri"/>
                <w:color w:val="0F172A"/>
                <w:sz w:val="18"/>
              </w:rPr>
              <w:t>Complex manual date filtering</w:t>
            </w:r>
          </w:p>
        </w:tc>
        <w:tc>
          <w:tcPr>
            <w:tcW w:type="dxa" w:w="3456"/>
            <w:shd w:fill="F8FAFC"/>
            <w:tcMar>
              <w:top w:w="80" w:type="dxa"/>
              <w:bottom w:w="80" w:type="dxa"/>
              <w:left w:w="120" w:type="dxa"/>
              <w:right w:w="120" w:type="dxa"/>
            </w:tcMar>
          </w:tcPr>
          <w:p>
            <w:r>
              <w:rPr>
                <w:rFonts w:ascii="Calibri" w:hAnsi="Calibri"/>
                <w:color w:val="0F172A"/>
                <w:sz w:val="18"/>
              </w:rPr>
              <w:t>Interactive Date Checkboxes (Fri/Sat/Sun)</w:t>
            </w:r>
          </w:p>
        </w:tc>
      </w:tr>
      <w:tr>
        <w:tc>
          <w:tcPr>
            <w:tcW w:type="dxa" w:w="2592"/>
            <w:shd w:fill="FFFFFF"/>
            <w:tcMar>
              <w:top w:w="80" w:type="dxa"/>
              <w:bottom w:w="80" w:type="dxa"/>
              <w:left w:w="120" w:type="dxa"/>
              <w:right w:w="120" w:type="dxa"/>
            </w:tcMar>
          </w:tcPr>
          <w:p>
            <w:r>
              <w:rPr>
                <w:rFonts w:ascii="Calibri" w:hAnsi="Calibri"/>
                <w:color w:val="0F172A"/>
                <w:sz w:val="18"/>
              </w:rPr>
              <w:t>Executive Reporting</w:t>
            </w:r>
          </w:p>
        </w:tc>
        <w:tc>
          <w:tcPr>
            <w:tcW w:type="dxa" w:w="3312"/>
            <w:shd w:fill="FFFFFF"/>
            <w:tcMar>
              <w:top w:w="80" w:type="dxa"/>
              <w:bottom w:w="80" w:type="dxa"/>
              <w:left w:w="120" w:type="dxa"/>
              <w:right w:w="120" w:type="dxa"/>
            </w:tcMar>
          </w:tcPr>
          <w:p>
            <w:r>
              <w:rPr>
                <w:rFonts w:ascii="Calibri" w:hAnsi="Calibri"/>
                <w:color w:val="0F172A"/>
                <w:sz w:val="18"/>
              </w:rPr>
              <w:t>Manually drafted emails</w:t>
            </w:r>
          </w:p>
        </w:tc>
        <w:tc>
          <w:tcPr>
            <w:tcW w:type="dxa" w:w="3456"/>
            <w:shd w:fill="FFFFFF"/>
            <w:tcMar>
              <w:top w:w="80" w:type="dxa"/>
              <w:bottom w:w="80" w:type="dxa"/>
              <w:left w:w="120" w:type="dxa"/>
              <w:right w:w="120" w:type="dxa"/>
            </w:tcMar>
          </w:tcPr>
          <w:p>
            <w:r>
              <w:rPr>
                <w:rFonts w:ascii="Calibri" w:hAnsi="Calibri"/>
                <w:color w:val="0F172A"/>
                <w:sz w:val="18"/>
              </w:rPr>
              <w:t>1-Click Copy Formatted Email with outlet counts</w:t>
            </w:r>
          </w:p>
        </w:tc>
      </w:tr>
    </w:tbl>
    <w:p>
      <w:pPr>
        <w:spacing w:after="120"/>
      </w:pPr>
    </w:p>
    <w:p>
      <w:pPr>
        <w:pStyle w:val="Heading1"/>
        <w:keepNext/>
        <w:spacing w:before="280" w:after="80"/>
      </w:pPr>
      <w:r>
        <w:rPr>
          <w:rFonts w:ascii="Calibri" w:hAnsi="Calibri"/>
          <w:b/>
          <w:color w:val="1E3A8A"/>
          <w:sz w:val="32"/>
        </w:rPr>
        <w:t>4. Architecture &amp; REST API Endpoints</w:t>
      </w:r>
    </w:p>
    <w:p>
      <w:pPr>
        <w:spacing w:before="0" w:after="80" w:line="276" w:lineRule="auto"/>
      </w:pPr>
      <w:r>
        <w:rPr>
          <w:rFonts w:ascii="Calibri" w:hAnsi="Calibri"/>
          <w:color w:val="0F172A"/>
          <w:sz w:val="20"/>
        </w:rPr>
        <w:t>Ops_Auto exposes 24 production-grade REST API endpoints built with FastAPI:</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520"/>
        <w:gridCol w:w="2520"/>
        <w:gridCol w:w="2520"/>
        <w:gridCol w:w="2520"/>
      </w:tblGrid>
      <w:tr>
        <w:tc>
          <w:tcPr>
            <w:tcW w:type="dxa" w:w="1152"/>
            <w:shd w:fill="1E3A8A"/>
            <w:tcMar>
              <w:top w:w="120" w:type="dxa"/>
              <w:bottom w:w="120" w:type="dxa"/>
              <w:left w:w="120" w:type="dxa"/>
              <w:right w:w="120" w:type="dxa"/>
            </w:tcMar>
          </w:tcPr>
          <w:p>
            <w:pPr>
              <w:jc w:val="left"/>
            </w:pPr>
            <w:r>
              <w:rPr>
                <w:rFonts w:ascii="Calibri" w:hAnsi="Calibri"/>
                <w:b/>
                <w:color w:val="FFFFFF"/>
                <w:sz w:val="19"/>
              </w:rPr>
              <w:t>Method</w:t>
            </w:r>
          </w:p>
        </w:tc>
        <w:tc>
          <w:tcPr>
            <w:tcW w:type="dxa" w:w="3168"/>
            <w:shd w:fill="1E3A8A"/>
            <w:tcMar>
              <w:top w:w="120" w:type="dxa"/>
              <w:bottom w:w="120" w:type="dxa"/>
              <w:left w:w="120" w:type="dxa"/>
              <w:right w:w="120" w:type="dxa"/>
            </w:tcMar>
          </w:tcPr>
          <w:p>
            <w:pPr>
              <w:jc w:val="left"/>
            </w:pPr>
            <w:r>
              <w:rPr>
                <w:rFonts w:ascii="Calibri" w:hAnsi="Calibri"/>
                <w:b/>
                <w:color w:val="FFFFFF"/>
                <w:sz w:val="19"/>
              </w:rPr>
              <w:t>Endpoint</w:t>
            </w:r>
          </w:p>
        </w:tc>
        <w:tc>
          <w:tcPr>
            <w:tcW w:type="dxa" w:w="3312"/>
            <w:shd w:fill="1E3A8A"/>
            <w:tcMar>
              <w:top w:w="120" w:type="dxa"/>
              <w:bottom w:w="120" w:type="dxa"/>
              <w:left w:w="120" w:type="dxa"/>
              <w:right w:w="120" w:type="dxa"/>
            </w:tcMar>
          </w:tcPr>
          <w:p>
            <w:pPr>
              <w:jc w:val="left"/>
            </w:pPr>
            <w:r>
              <w:rPr>
                <w:rFonts w:ascii="Calibri" w:hAnsi="Calibri"/>
                <w:b/>
                <w:color w:val="FFFFFF"/>
                <w:sz w:val="19"/>
              </w:rPr>
              <w:t>Description</w:t>
            </w:r>
          </w:p>
        </w:tc>
        <w:tc>
          <w:tcPr>
            <w:tcW w:type="dxa" w:w="1728"/>
            <w:shd w:fill="1E3A8A"/>
            <w:tcMar>
              <w:top w:w="120" w:type="dxa"/>
              <w:bottom w:w="120" w:type="dxa"/>
              <w:left w:w="120" w:type="dxa"/>
              <w:right w:w="120" w:type="dxa"/>
            </w:tcMar>
          </w:tcPr>
          <w:p>
            <w:pPr>
              <w:jc w:val="left"/>
            </w:pPr>
            <w:r>
              <w:rPr>
                <w:rFonts w:ascii="Calibri" w:hAnsi="Calibri"/>
                <w:b/>
                <w:color w:val="FFFFFF"/>
                <w:sz w:val="19"/>
              </w:rPr>
              <w:t>Primary Output</w:t>
            </w:r>
          </w:p>
        </w:tc>
      </w:tr>
      <w:tr>
        <w:tc>
          <w:tcPr>
            <w:tcW w:type="dxa" w:w="1152"/>
            <w:shd w:fill="FFFFFF"/>
            <w:tcMar>
              <w:top w:w="80" w:type="dxa"/>
              <w:bottom w:w="80" w:type="dxa"/>
              <w:left w:w="120" w:type="dxa"/>
              <w:right w:w="120" w:type="dxa"/>
            </w:tcMar>
          </w:tcPr>
          <w:p>
            <w:r>
              <w:rPr>
                <w:rFonts w:ascii="Calibri" w:hAnsi="Calibri"/>
                <w:color w:val="0F172A"/>
                <w:sz w:val="18"/>
              </w:rPr>
              <w:t>POST</w:t>
            </w:r>
          </w:p>
        </w:tc>
        <w:tc>
          <w:tcPr>
            <w:tcW w:type="dxa" w:w="3168"/>
            <w:shd w:fill="FFFFFF"/>
            <w:tcMar>
              <w:top w:w="80" w:type="dxa"/>
              <w:bottom w:w="80" w:type="dxa"/>
              <w:left w:w="120" w:type="dxa"/>
              <w:right w:w="120" w:type="dxa"/>
            </w:tcMar>
          </w:tcPr>
          <w:p>
            <w:r>
              <w:rPr>
                <w:rFonts w:ascii="Calibri" w:hAnsi="Calibri"/>
                <w:color w:val="0F172A"/>
                <w:sz w:val="18"/>
              </w:rPr>
              <w:t>/api/reconcile</w:t>
            </w:r>
          </w:p>
        </w:tc>
        <w:tc>
          <w:tcPr>
            <w:tcW w:type="dxa" w:w="3312"/>
            <w:shd w:fill="FFFFFF"/>
            <w:tcMar>
              <w:top w:w="80" w:type="dxa"/>
              <w:bottom w:w="80" w:type="dxa"/>
              <w:left w:w="120" w:type="dxa"/>
              <w:right w:w="120" w:type="dxa"/>
            </w:tcMar>
          </w:tcPr>
          <w:p>
            <w:r>
              <w:rPr>
                <w:rFonts w:ascii="Calibri" w:hAnsi="Calibri"/>
                <w:color w:val="0F172A"/>
                <w:sz w:val="18"/>
              </w:rPr>
              <w:t>Executes full 5-file reconciliation pipeline</w:t>
            </w:r>
          </w:p>
        </w:tc>
        <w:tc>
          <w:tcPr>
            <w:tcW w:type="dxa" w:w="1728"/>
            <w:shd w:fill="FFFFFF"/>
            <w:tcMar>
              <w:top w:w="80" w:type="dxa"/>
              <w:bottom w:w="80" w:type="dxa"/>
              <w:left w:w="120" w:type="dxa"/>
              <w:right w:w="120" w:type="dxa"/>
            </w:tcMar>
          </w:tcPr>
          <w:p>
            <w:r>
              <w:rPr>
                <w:rFonts w:ascii="Calibri" w:hAnsi="Calibri"/>
                <w:color w:val="0F172A"/>
                <w:sz w:val="18"/>
              </w:rPr>
              <w:t>Audit stats &amp; session ID</w:t>
            </w:r>
          </w:p>
        </w:tc>
      </w:tr>
      <w:tr>
        <w:tc>
          <w:tcPr>
            <w:tcW w:type="dxa" w:w="1152"/>
            <w:shd w:fill="F8FAFC"/>
            <w:tcMar>
              <w:top w:w="80" w:type="dxa"/>
              <w:bottom w:w="80" w:type="dxa"/>
              <w:left w:w="120" w:type="dxa"/>
              <w:right w:w="120" w:type="dxa"/>
            </w:tcMar>
          </w:tcPr>
          <w:p>
            <w:r>
              <w:rPr>
                <w:rFonts w:ascii="Calibri" w:hAnsi="Calibri"/>
                <w:color w:val="0F172A"/>
                <w:sz w:val="18"/>
              </w:rPr>
              <w:t>POST</w:t>
            </w:r>
          </w:p>
        </w:tc>
        <w:tc>
          <w:tcPr>
            <w:tcW w:type="dxa" w:w="3168"/>
            <w:shd w:fill="F8FAFC"/>
            <w:tcMar>
              <w:top w:w="80" w:type="dxa"/>
              <w:bottom w:w="80" w:type="dxa"/>
              <w:left w:w="120" w:type="dxa"/>
              <w:right w:w="120" w:type="dxa"/>
            </w:tcMar>
          </w:tcPr>
          <w:p>
            <w:r>
              <w:rPr>
                <w:rFonts w:ascii="Calibri" w:hAnsi="Calibri"/>
                <w:color w:val="0F172A"/>
                <w:sz w:val="18"/>
              </w:rPr>
              <w:t>/api/upload-recon-file</w:t>
            </w:r>
          </w:p>
        </w:tc>
        <w:tc>
          <w:tcPr>
            <w:tcW w:type="dxa" w:w="3312"/>
            <w:shd w:fill="F8FAFC"/>
            <w:tcMar>
              <w:top w:w="80" w:type="dxa"/>
              <w:bottom w:w="80" w:type="dxa"/>
              <w:left w:w="120" w:type="dxa"/>
              <w:right w:w="120" w:type="dxa"/>
            </w:tcMar>
          </w:tcPr>
          <w:p>
            <w:r>
              <w:rPr>
                <w:rFonts w:ascii="Calibri" w:hAnsi="Calibri"/>
                <w:color w:val="0F172A"/>
                <w:sz w:val="18"/>
              </w:rPr>
              <w:t>Instant parse of existing recon workbook</w:t>
            </w:r>
          </w:p>
        </w:tc>
        <w:tc>
          <w:tcPr>
            <w:tcW w:type="dxa" w:w="1728"/>
            <w:shd w:fill="F8FAFC"/>
            <w:tcMar>
              <w:top w:w="80" w:type="dxa"/>
              <w:bottom w:w="80" w:type="dxa"/>
              <w:left w:w="120" w:type="dxa"/>
              <w:right w:w="120" w:type="dxa"/>
            </w:tcMar>
          </w:tcPr>
          <w:p>
            <w:r>
              <w:rPr>
                <w:rFonts w:ascii="Calibri" w:hAnsi="Calibri"/>
                <w:color w:val="0F172A"/>
                <w:sz w:val="18"/>
              </w:rPr>
              <w:t>Extracted discrepancies &amp; dates</w:t>
            </w:r>
          </w:p>
        </w:tc>
      </w:tr>
      <w:tr>
        <w:tc>
          <w:tcPr>
            <w:tcW w:type="dxa" w:w="1152"/>
            <w:shd w:fill="FFFFFF"/>
            <w:tcMar>
              <w:top w:w="80" w:type="dxa"/>
              <w:bottom w:w="80" w:type="dxa"/>
              <w:left w:w="120" w:type="dxa"/>
              <w:right w:w="120" w:type="dxa"/>
            </w:tcMar>
          </w:tcPr>
          <w:p>
            <w:r>
              <w:rPr>
                <w:rFonts w:ascii="Calibri" w:hAnsi="Calibri"/>
                <w:color w:val="0F172A"/>
                <w:sz w:val="18"/>
              </w:rPr>
              <w:t>POST</w:t>
            </w:r>
          </w:p>
        </w:tc>
        <w:tc>
          <w:tcPr>
            <w:tcW w:type="dxa" w:w="3168"/>
            <w:shd w:fill="FFFFFF"/>
            <w:tcMar>
              <w:top w:w="80" w:type="dxa"/>
              <w:bottom w:w="80" w:type="dxa"/>
              <w:left w:w="120" w:type="dxa"/>
              <w:right w:w="120" w:type="dxa"/>
            </w:tcMar>
          </w:tcPr>
          <w:p>
            <w:r>
              <w:rPr>
                <w:rFonts w:ascii="Calibri" w:hAnsi="Calibri"/>
                <w:color w:val="0F172A"/>
                <w:sz w:val="18"/>
              </w:rPr>
              <w:t>/api/detect-files</w:t>
            </w:r>
          </w:p>
        </w:tc>
        <w:tc>
          <w:tcPr>
            <w:tcW w:type="dxa" w:w="3312"/>
            <w:shd w:fill="FFFFFF"/>
            <w:tcMar>
              <w:top w:w="80" w:type="dxa"/>
              <w:bottom w:w="80" w:type="dxa"/>
              <w:left w:w="120" w:type="dxa"/>
              <w:right w:w="120" w:type="dxa"/>
            </w:tcMar>
          </w:tcPr>
          <w:p>
            <w:r>
              <w:rPr>
                <w:rFonts w:ascii="Calibri" w:hAnsi="Calibri"/>
                <w:color w:val="0F172A"/>
                <w:sz w:val="18"/>
              </w:rPr>
              <w:t>Pre-flight column header auto-detection</w:t>
            </w:r>
          </w:p>
        </w:tc>
        <w:tc>
          <w:tcPr>
            <w:tcW w:type="dxa" w:w="1728"/>
            <w:shd w:fill="FFFFFF"/>
            <w:tcMar>
              <w:top w:w="80" w:type="dxa"/>
              <w:bottom w:w="80" w:type="dxa"/>
              <w:left w:w="120" w:type="dxa"/>
              <w:right w:w="120" w:type="dxa"/>
            </w:tcMar>
          </w:tcPr>
          <w:p>
            <w:r>
              <w:rPr>
                <w:rFonts w:ascii="Calibri" w:hAnsi="Calibri"/>
                <w:color w:val="0F172A"/>
                <w:sz w:val="18"/>
              </w:rPr>
              <w:t>Detected report types &amp; row counts</w:t>
            </w:r>
          </w:p>
        </w:tc>
      </w:tr>
      <w:tr>
        <w:tc>
          <w:tcPr>
            <w:tcW w:type="dxa" w:w="1152"/>
            <w:shd w:fill="F8FAFC"/>
            <w:tcMar>
              <w:top w:w="80" w:type="dxa"/>
              <w:bottom w:w="80" w:type="dxa"/>
              <w:left w:w="120" w:type="dxa"/>
              <w:right w:w="120" w:type="dxa"/>
            </w:tcMar>
          </w:tcPr>
          <w:p>
            <w:r>
              <w:rPr>
                <w:rFonts w:ascii="Calibri" w:hAnsi="Calibri"/>
                <w:color w:val="0F172A"/>
                <w:sz w:val="18"/>
              </w:rPr>
              <w:t>GET</w:t>
            </w:r>
          </w:p>
        </w:tc>
        <w:tc>
          <w:tcPr>
            <w:tcW w:type="dxa" w:w="3168"/>
            <w:shd w:fill="F8FAFC"/>
            <w:tcMar>
              <w:top w:w="80" w:type="dxa"/>
              <w:bottom w:w="80" w:type="dxa"/>
              <w:left w:w="120" w:type="dxa"/>
              <w:right w:w="120" w:type="dxa"/>
            </w:tcMar>
          </w:tcPr>
          <w:p>
            <w:r>
              <w:rPr>
                <w:rFonts w:ascii="Calibri" w:hAnsi="Calibri"/>
                <w:color w:val="0F172A"/>
                <w:sz w:val="18"/>
              </w:rPr>
              <w:t>/api/download/{session_id}</w:t>
            </w:r>
          </w:p>
        </w:tc>
        <w:tc>
          <w:tcPr>
            <w:tcW w:type="dxa" w:w="3312"/>
            <w:shd w:fill="F8FAFC"/>
            <w:tcMar>
              <w:top w:w="80" w:type="dxa"/>
              <w:bottom w:w="80" w:type="dxa"/>
              <w:left w:w="120" w:type="dxa"/>
              <w:right w:w="120" w:type="dxa"/>
            </w:tcMar>
          </w:tcPr>
          <w:p>
            <w:r>
              <w:rPr>
                <w:rFonts w:ascii="Calibri" w:hAnsi="Calibri"/>
                <w:color w:val="0F172A"/>
                <w:sz w:val="18"/>
              </w:rPr>
              <w:t>Downloads 18-sheet master recon workbook</w:t>
            </w:r>
          </w:p>
        </w:tc>
        <w:tc>
          <w:tcPr>
            <w:tcW w:type="dxa" w:w="1728"/>
            <w:shd w:fill="F8FAFC"/>
            <w:tcMar>
              <w:top w:w="80" w:type="dxa"/>
              <w:bottom w:w="80" w:type="dxa"/>
              <w:left w:w="120" w:type="dxa"/>
              <w:right w:w="120" w:type="dxa"/>
            </w:tcMar>
          </w:tcPr>
          <w:p>
            <w:r>
              <w:rPr>
                <w:rFonts w:ascii="Calibri" w:hAnsi="Calibri"/>
                <w:color w:val="0F172A"/>
                <w:sz w:val="18"/>
              </w:rPr>
              <w:t>Excel (.xlsx) file</w:t>
            </w:r>
          </w:p>
        </w:tc>
      </w:tr>
      <w:tr>
        <w:tc>
          <w:tcPr>
            <w:tcW w:type="dxa" w:w="1152"/>
            <w:shd w:fill="FFFFFF"/>
            <w:tcMar>
              <w:top w:w="80" w:type="dxa"/>
              <w:bottom w:w="80" w:type="dxa"/>
              <w:left w:w="120" w:type="dxa"/>
              <w:right w:w="120" w:type="dxa"/>
            </w:tcMar>
          </w:tcPr>
          <w:p>
            <w:r>
              <w:rPr>
                <w:rFonts w:ascii="Calibri" w:hAnsi="Calibri"/>
                <w:color w:val="0F172A"/>
                <w:sz w:val="18"/>
              </w:rPr>
              <w:t>GET</w:t>
            </w:r>
          </w:p>
        </w:tc>
        <w:tc>
          <w:tcPr>
            <w:tcW w:type="dxa" w:w="3168"/>
            <w:shd w:fill="FFFFFF"/>
            <w:tcMar>
              <w:top w:w="80" w:type="dxa"/>
              <w:bottom w:w="80" w:type="dxa"/>
              <w:left w:w="120" w:type="dxa"/>
              <w:right w:w="120" w:type="dxa"/>
            </w:tcMar>
          </w:tcPr>
          <w:p>
            <w:r>
              <w:rPr>
                <w:rFonts w:ascii="Calibri" w:hAnsi="Calibri"/>
                <w:color w:val="0F172A"/>
                <w:sz w:val="18"/>
              </w:rPr>
              <w:t>/api/download-sync-file/{id}</w:t>
            </w:r>
          </w:p>
        </w:tc>
        <w:tc>
          <w:tcPr>
            <w:tcW w:type="dxa" w:w="3312"/>
            <w:shd w:fill="FFFFFF"/>
            <w:tcMar>
              <w:top w:w="80" w:type="dxa"/>
              <w:bottom w:w="80" w:type="dxa"/>
              <w:left w:w="120" w:type="dxa"/>
              <w:right w:w="120" w:type="dxa"/>
            </w:tcMar>
          </w:tcPr>
          <w:p>
            <w:r>
              <w:rPr>
                <w:rFonts w:ascii="Calibri" w:hAnsi="Calibri"/>
                <w:color w:val="0F172A"/>
                <w:sz w:val="18"/>
              </w:rPr>
              <w:t>Downloads SMMS sync workbook</w:t>
            </w:r>
          </w:p>
        </w:tc>
        <w:tc>
          <w:tcPr>
            <w:tcW w:type="dxa" w:w="1728"/>
            <w:shd w:fill="FFFFFF"/>
            <w:tcMar>
              <w:top w:w="80" w:type="dxa"/>
              <w:bottom w:w="80" w:type="dxa"/>
              <w:left w:w="120" w:type="dxa"/>
              <w:right w:w="120" w:type="dxa"/>
            </w:tcMar>
          </w:tcPr>
          <w:p>
            <w:r>
              <w:rPr>
                <w:rFonts w:ascii="Calibri" w:hAnsi="Calibri"/>
                <w:color w:val="0F172A"/>
                <w:sz w:val="18"/>
              </w:rPr>
              <w:t>Sync_Transactions_*.xlsx</w:t>
            </w:r>
          </w:p>
        </w:tc>
      </w:tr>
      <w:tr>
        <w:tc>
          <w:tcPr>
            <w:tcW w:type="dxa" w:w="1152"/>
            <w:shd w:fill="F8FAFC"/>
            <w:tcMar>
              <w:top w:w="80" w:type="dxa"/>
              <w:bottom w:w="80" w:type="dxa"/>
              <w:left w:w="120" w:type="dxa"/>
              <w:right w:w="120" w:type="dxa"/>
            </w:tcMar>
          </w:tcPr>
          <w:p>
            <w:r>
              <w:rPr>
                <w:rFonts w:ascii="Calibri" w:hAnsi="Calibri"/>
                <w:color w:val="0F172A"/>
                <w:sz w:val="18"/>
              </w:rPr>
              <w:t>GET</w:t>
            </w:r>
          </w:p>
        </w:tc>
        <w:tc>
          <w:tcPr>
            <w:tcW w:type="dxa" w:w="3168"/>
            <w:shd w:fill="F8FAFC"/>
            <w:tcMar>
              <w:top w:w="80" w:type="dxa"/>
              <w:bottom w:w="80" w:type="dxa"/>
              <w:left w:w="120" w:type="dxa"/>
              <w:right w:w="120" w:type="dxa"/>
            </w:tcMar>
          </w:tcPr>
          <w:p>
            <w:r>
              <w:rPr>
                <w:rFonts w:ascii="Calibri" w:hAnsi="Calibri"/>
                <w:color w:val="0F172A"/>
                <w:sz w:val="18"/>
              </w:rPr>
              <w:t>/api/download-network-file/{id}</w:t>
            </w:r>
          </w:p>
        </w:tc>
        <w:tc>
          <w:tcPr>
            <w:tcW w:type="dxa" w:w="3312"/>
            <w:shd w:fill="F8FAFC"/>
            <w:tcMar>
              <w:top w:w="80" w:type="dxa"/>
              <w:bottom w:w="80" w:type="dxa"/>
              <w:left w:w="120" w:type="dxa"/>
              <w:right w:w="120" w:type="dxa"/>
            </w:tcMar>
          </w:tcPr>
          <w:p>
            <w:r>
              <w:rPr>
                <w:rFonts w:ascii="Calibri" w:hAnsi="Calibri"/>
                <w:color w:val="0F172A"/>
                <w:sz w:val="18"/>
              </w:rPr>
              <w:t>Downloads CMS network change workbook</w:t>
            </w:r>
          </w:p>
        </w:tc>
        <w:tc>
          <w:tcPr>
            <w:tcW w:type="dxa" w:w="1728"/>
            <w:shd w:fill="F8FAFC"/>
            <w:tcMar>
              <w:top w:w="80" w:type="dxa"/>
              <w:bottom w:w="80" w:type="dxa"/>
              <w:left w:w="120" w:type="dxa"/>
              <w:right w:w="120" w:type="dxa"/>
            </w:tcMar>
          </w:tcPr>
          <w:p>
            <w:r>
              <w:rPr>
                <w:rFonts w:ascii="Calibri" w:hAnsi="Calibri"/>
                <w:color w:val="0F172A"/>
                <w:sz w:val="18"/>
              </w:rPr>
              <w:t>Change_Network_*.xlsx</w:t>
            </w:r>
          </w:p>
        </w:tc>
      </w:tr>
      <w:tr>
        <w:tc>
          <w:tcPr>
            <w:tcW w:type="dxa" w:w="1152"/>
            <w:shd w:fill="FFFFFF"/>
            <w:tcMar>
              <w:top w:w="80" w:type="dxa"/>
              <w:bottom w:w="80" w:type="dxa"/>
              <w:left w:w="120" w:type="dxa"/>
              <w:right w:w="120" w:type="dxa"/>
            </w:tcMar>
          </w:tcPr>
          <w:p>
            <w:r>
              <w:rPr>
                <w:rFonts w:ascii="Calibri" w:hAnsi="Calibri"/>
                <w:color w:val="0F172A"/>
                <w:sz w:val="18"/>
              </w:rPr>
              <w:t>GET</w:t>
            </w:r>
          </w:p>
        </w:tc>
        <w:tc>
          <w:tcPr>
            <w:tcW w:type="dxa" w:w="3168"/>
            <w:shd w:fill="FFFFFF"/>
            <w:tcMar>
              <w:top w:w="80" w:type="dxa"/>
              <w:bottom w:w="80" w:type="dxa"/>
              <w:left w:w="120" w:type="dxa"/>
              <w:right w:w="120" w:type="dxa"/>
            </w:tcMar>
          </w:tcPr>
          <w:p>
            <w:r>
              <w:rPr>
                <w:rFonts w:ascii="Calibri" w:hAnsi="Calibri"/>
                <w:color w:val="0F172A"/>
                <w:sz w:val="18"/>
              </w:rPr>
              <w:t>/api/download-xcd/{id}/{pg}</w:t>
            </w:r>
          </w:p>
        </w:tc>
        <w:tc>
          <w:tcPr>
            <w:tcW w:type="dxa" w:w="3312"/>
            <w:shd w:fill="FFFFFF"/>
            <w:tcMar>
              <w:top w:w="80" w:type="dxa"/>
              <w:bottom w:w="80" w:type="dxa"/>
              <w:left w:w="120" w:type="dxa"/>
              <w:right w:w="120" w:type="dxa"/>
            </w:tcMar>
          </w:tcPr>
          <w:p>
            <w:r>
              <w:rPr>
                <w:rFonts w:ascii="Calibri" w:hAnsi="Calibri"/>
                <w:color w:val="0F172A"/>
                <w:sz w:val="18"/>
              </w:rPr>
              <w:t>Downloads date-filtered settlement file</w:t>
            </w:r>
          </w:p>
        </w:tc>
        <w:tc>
          <w:tcPr>
            <w:tcW w:type="dxa" w:w="1728"/>
            <w:shd w:fill="FFFFFF"/>
            <w:tcMar>
              <w:top w:w="80" w:type="dxa"/>
              <w:bottom w:w="80" w:type="dxa"/>
              <w:left w:w="120" w:type="dxa"/>
              <w:right w:w="120" w:type="dxa"/>
            </w:tcMar>
          </w:tcPr>
          <w:p>
            <w:r>
              <w:rPr>
                <w:rFonts w:ascii="Calibri" w:hAnsi="Calibri"/>
                <w:color w:val="0F172A"/>
                <w:sz w:val="18"/>
              </w:rPr>
              <w:t>XCD Input file...xlsx</w:t>
            </w:r>
          </w:p>
        </w:tc>
      </w:tr>
      <w:tr>
        <w:tc>
          <w:tcPr>
            <w:tcW w:type="dxa" w:w="1152"/>
            <w:shd w:fill="F8FAFC"/>
            <w:tcMar>
              <w:top w:w="80" w:type="dxa"/>
              <w:bottom w:w="80" w:type="dxa"/>
              <w:left w:w="120" w:type="dxa"/>
              <w:right w:w="120" w:type="dxa"/>
            </w:tcMar>
          </w:tcPr>
          <w:p>
            <w:r>
              <w:rPr>
                <w:rFonts w:ascii="Calibri" w:hAnsi="Calibri"/>
                <w:color w:val="0F172A"/>
                <w:sz w:val="18"/>
              </w:rPr>
              <w:t>POST</w:t>
            </w:r>
          </w:p>
        </w:tc>
        <w:tc>
          <w:tcPr>
            <w:tcW w:type="dxa" w:w="3168"/>
            <w:shd w:fill="F8FAFC"/>
            <w:tcMar>
              <w:top w:w="80" w:type="dxa"/>
              <w:bottom w:w="80" w:type="dxa"/>
              <w:left w:w="120" w:type="dxa"/>
              <w:right w:w="120" w:type="dxa"/>
            </w:tcMar>
          </w:tcPr>
          <w:p>
            <w:r>
              <w:rPr>
                <w:rFonts w:ascii="Calibri" w:hAnsi="Calibri"/>
                <w:color w:val="0F172A"/>
                <w:sz w:val="18"/>
              </w:rPr>
              <w:t>/api/generate-xcd/{id}</w:t>
            </w:r>
          </w:p>
        </w:tc>
        <w:tc>
          <w:tcPr>
            <w:tcW w:type="dxa" w:w="3312"/>
            <w:shd w:fill="F8FAFC"/>
            <w:tcMar>
              <w:top w:w="80" w:type="dxa"/>
              <w:bottom w:w="80" w:type="dxa"/>
              <w:left w:w="120" w:type="dxa"/>
              <w:right w:w="120" w:type="dxa"/>
            </w:tcMar>
          </w:tcPr>
          <w:p>
            <w:r>
              <w:rPr>
                <w:rFonts w:ascii="Calibri" w:hAnsi="Calibri"/>
                <w:color w:val="0F172A"/>
                <w:sz w:val="18"/>
              </w:rPr>
              <w:t>Generates date-filtered settlement workbooks</w:t>
            </w:r>
          </w:p>
        </w:tc>
        <w:tc>
          <w:tcPr>
            <w:tcW w:type="dxa" w:w="1728"/>
            <w:shd w:fill="F8FAFC"/>
            <w:tcMar>
              <w:top w:w="80" w:type="dxa"/>
              <w:bottom w:w="80" w:type="dxa"/>
              <w:left w:w="120" w:type="dxa"/>
              <w:right w:w="120" w:type="dxa"/>
            </w:tcMar>
          </w:tcPr>
          <w:p>
            <w:r>
              <w:rPr>
                <w:rFonts w:ascii="Calibri" w:hAnsi="Calibri"/>
                <w:color w:val="0F172A"/>
                <w:sz w:val="18"/>
              </w:rPr>
              <w:t>Filtered settlement counts</w:t>
            </w:r>
          </w:p>
        </w:tc>
      </w:tr>
      <w:tr>
        <w:tc>
          <w:tcPr>
            <w:tcW w:type="dxa" w:w="1152"/>
            <w:shd w:fill="FFFFFF"/>
            <w:tcMar>
              <w:top w:w="80" w:type="dxa"/>
              <w:bottom w:w="80" w:type="dxa"/>
              <w:left w:w="120" w:type="dxa"/>
              <w:right w:w="120" w:type="dxa"/>
            </w:tcMar>
          </w:tcPr>
          <w:p>
            <w:r>
              <w:rPr>
                <w:rFonts w:ascii="Calibri" w:hAnsi="Calibri"/>
                <w:color w:val="0F172A"/>
                <w:sz w:val="18"/>
              </w:rPr>
              <w:t>POST</w:t>
            </w:r>
          </w:p>
        </w:tc>
        <w:tc>
          <w:tcPr>
            <w:tcW w:type="dxa" w:w="3168"/>
            <w:shd w:fill="FFFFFF"/>
            <w:tcMar>
              <w:top w:w="80" w:type="dxa"/>
              <w:bottom w:w="80" w:type="dxa"/>
              <w:left w:w="120" w:type="dxa"/>
              <w:right w:w="120" w:type="dxa"/>
            </w:tcMar>
          </w:tcPr>
          <w:p>
            <w:r>
              <w:rPr>
                <w:rFonts w:ascii="Calibri" w:hAnsi="Calibri"/>
                <w:color w:val="0F172A"/>
                <w:sz w:val="18"/>
              </w:rPr>
              <w:t>/api/pull-missing-pg/{id}</w:t>
            </w:r>
          </w:p>
        </w:tc>
        <w:tc>
          <w:tcPr>
            <w:tcW w:type="dxa" w:w="3312"/>
            <w:shd w:fill="FFFFFF"/>
            <w:tcMar>
              <w:top w:w="80" w:type="dxa"/>
              <w:bottom w:w="80" w:type="dxa"/>
              <w:left w:w="120" w:type="dxa"/>
              <w:right w:w="120" w:type="dxa"/>
            </w:tcMar>
          </w:tcPr>
          <w:p>
            <w:r>
              <w:rPr>
                <w:rFonts w:ascii="Calibri" w:hAnsi="Calibri"/>
                <w:color w:val="0F172A"/>
                <w:sz w:val="18"/>
              </w:rPr>
              <w:t>Pulls missing recon records to Decision API</w:t>
            </w:r>
          </w:p>
        </w:tc>
        <w:tc>
          <w:tcPr>
            <w:tcW w:type="dxa" w:w="1728"/>
            <w:shd w:fill="FFFFFF"/>
            <w:tcMar>
              <w:top w:w="80" w:type="dxa"/>
              <w:bottom w:w="80" w:type="dxa"/>
              <w:left w:w="120" w:type="dxa"/>
              <w:right w:w="120" w:type="dxa"/>
            </w:tcMar>
          </w:tcPr>
          <w:p>
            <w:r>
              <w:rPr>
                <w:rFonts w:ascii="Calibri" w:hAnsi="Calibri"/>
                <w:color w:val="0F172A"/>
                <w:sz w:val="18"/>
              </w:rPr>
              <w:t>Postman telemetry &amp; status</w:t>
            </w:r>
          </w:p>
        </w:tc>
      </w:tr>
      <w:tr>
        <w:tc>
          <w:tcPr>
            <w:tcW w:type="dxa" w:w="1152"/>
            <w:shd w:fill="F8FAFC"/>
            <w:tcMar>
              <w:top w:w="80" w:type="dxa"/>
              <w:bottom w:w="80" w:type="dxa"/>
              <w:left w:w="120" w:type="dxa"/>
              <w:right w:w="120" w:type="dxa"/>
            </w:tcMar>
          </w:tcPr>
          <w:p>
            <w:r>
              <w:rPr>
                <w:rFonts w:ascii="Calibri" w:hAnsi="Calibri"/>
                <w:color w:val="0F172A"/>
                <w:sz w:val="18"/>
              </w:rPr>
              <w:t>POST</w:t>
            </w:r>
          </w:p>
        </w:tc>
        <w:tc>
          <w:tcPr>
            <w:tcW w:type="dxa" w:w="3168"/>
            <w:shd w:fill="F8FAFC"/>
            <w:tcMar>
              <w:top w:w="80" w:type="dxa"/>
              <w:bottom w:w="80" w:type="dxa"/>
              <w:left w:w="120" w:type="dxa"/>
              <w:right w:w="120" w:type="dxa"/>
            </w:tcMar>
          </w:tcPr>
          <w:p>
            <w:r>
              <w:rPr>
                <w:rFonts w:ascii="Calibri" w:hAnsi="Calibri"/>
                <w:color w:val="0F172A"/>
                <w:sz w:val="18"/>
              </w:rPr>
              <w:t>/api/direct-pull/upload</w:t>
            </w:r>
          </w:p>
        </w:tc>
        <w:tc>
          <w:tcPr>
            <w:tcW w:type="dxa" w:w="3312"/>
            <w:shd w:fill="F8FAFC"/>
            <w:tcMar>
              <w:top w:w="80" w:type="dxa"/>
              <w:bottom w:w="80" w:type="dxa"/>
              <w:left w:w="120" w:type="dxa"/>
              <w:right w:w="120" w:type="dxa"/>
            </w:tcMar>
          </w:tcPr>
          <w:p>
            <w:r>
              <w:rPr>
                <w:rFonts w:ascii="Calibri" w:hAnsi="Calibri"/>
                <w:color w:val="0F172A"/>
                <w:sz w:val="18"/>
              </w:rPr>
              <w:t>Parses standalone PG report for 1-shot pull</w:t>
            </w:r>
          </w:p>
        </w:tc>
        <w:tc>
          <w:tcPr>
            <w:tcW w:type="dxa" w:w="1728"/>
            <w:shd w:fill="F8FAFC"/>
            <w:tcMar>
              <w:top w:w="80" w:type="dxa"/>
              <w:bottom w:w="80" w:type="dxa"/>
              <w:left w:w="120" w:type="dxa"/>
              <w:right w:w="120" w:type="dxa"/>
            </w:tcMar>
          </w:tcPr>
          <w:p>
            <w:r>
              <w:rPr>
                <w:rFonts w:ascii="Calibri" w:hAnsi="Calibri"/>
                <w:color w:val="0F172A"/>
                <w:sz w:val="18"/>
              </w:rPr>
              <w:t>Resolved records table</w:t>
            </w:r>
          </w:p>
        </w:tc>
      </w:tr>
      <w:tr>
        <w:tc>
          <w:tcPr>
            <w:tcW w:type="dxa" w:w="1152"/>
            <w:shd w:fill="FFFFFF"/>
            <w:tcMar>
              <w:top w:w="80" w:type="dxa"/>
              <w:bottom w:w="80" w:type="dxa"/>
              <w:left w:w="120" w:type="dxa"/>
              <w:right w:w="120" w:type="dxa"/>
            </w:tcMar>
          </w:tcPr>
          <w:p>
            <w:r>
              <w:rPr>
                <w:rFonts w:ascii="Calibri" w:hAnsi="Calibri"/>
                <w:color w:val="0F172A"/>
                <w:sz w:val="18"/>
              </w:rPr>
              <w:t>POST</w:t>
            </w:r>
          </w:p>
        </w:tc>
        <w:tc>
          <w:tcPr>
            <w:tcW w:type="dxa" w:w="3168"/>
            <w:shd w:fill="FFFFFF"/>
            <w:tcMar>
              <w:top w:w="80" w:type="dxa"/>
              <w:bottom w:w="80" w:type="dxa"/>
              <w:left w:w="120" w:type="dxa"/>
              <w:right w:w="120" w:type="dxa"/>
            </w:tcMar>
          </w:tcPr>
          <w:p>
            <w:r>
              <w:rPr>
                <w:rFonts w:ascii="Calibri" w:hAnsi="Calibri"/>
                <w:color w:val="0F172A"/>
                <w:sz w:val="18"/>
              </w:rPr>
              <w:t>/api/direct-pull/push</w:t>
            </w:r>
          </w:p>
        </w:tc>
        <w:tc>
          <w:tcPr>
            <w:tcW w:type="dxa" w:w="3312"/>
            <w:shd w:fill="FFFFFF"/>
            <w:tcMar>
              <w:top w:w="80" w:type="dxa"/>
              <w:bottom w:w="80" w:type="dxa"/>
              <w:left w:w="120" w:type="dxa"/>
              <w:right w:w="120" w:type="dxa"/>
            </w:tcMar>
          </w:tcPr>
          <w:p>
            <w:r>
              <w:rPr>
                <w:rFonts w:ascii="Calibri" w:hAnsi="Calibri"/>
                <w:color w:val="0F172A"/>
                <w:sz w:val="18"/>
              </w:rPr>
              <w:t>Executes one-shot bulk pull to Decision API</w:t>
            </w:r>
          </w:p>
        </w:tc>
        <w:tc>
          <w:tcPr>
            <w:tcW w:type="dxa" w:w="1728"/>
            <w:shd w:fill="FFFFFF"/>
            <w:tcMar>
              <w:top w:w="80" w:type="dxa"/>
              <w:bottom w:w="80" w:type="dxa"/>
              <w:left w:w="120" w:type="dxa"/>
              <w:right w:w="120" w:type="dxa"/>
            </w:tcMar>
          </w:tcPr>
          <w:p>
            <w:r>
              <w:rPr>
                <w:rFonts w:ascii="Calibri" w:hAnsi="Calibri"/>
                <w:color w:val="0F172A"/>
                <w:sz w:val="18"/>
              </w:rPr>
              <w:t>Batch pull counts &amp; latency</w:t>
            </w:r>
          </w:p>
        </w:tc>
      </w:tr>
      <w:tr>
        <w:tc>
          <w:tcPr>
            <w:tcW w:type="dxa" w:w="1152"/>
            <w:shd w:fill="F8FAFC"/>
            <w:tcMar>
              <w:top w:w="80" w:type="dxa"/>
              <w:bottom w:w="80" w:type="dxa"/>
              <w:left w:w="120" w:type="dxa"/>
              <w:right w:w="120" w:type="dxa"/>
            </w:tcMar>
          </w:tcPr>
          <w:p>
            <w:r>
              <w:rPr>
                <w:rFonts w:ascii="Calibri" w:hAnsi="Calibri"/>
                <w:color w:val="0F172A"/>
                <w:sz w:val="18"/>
              </w:rPr>
              <w:t>GET</w:t>
            </w:r>
          </w:p>
        </w:tc>
        <w:tc>
          <w:tcPr>
            <w:tcW w:type="dxa" w:w="3168"/>
            <w:shd w:fill="F8FAFC"/>
            <w:tcMar>
              <w:top w:w="80" w:type="dxa"/>
              <w:bottom w:w="80" w:type="dxa"/>
              <w:left w:w="120" w:type="dxa"/>
              <w:right w:w="120" w:type="dxa"/>
            </w:tcMar>
          </w:tcPr>
          <w:p>
            <w:r>
              <w:rPr>
                <w:rFonts w:ascii="Calibri" w:hAnsi="Calibri"/>
                <w:color w:val="0F172A"/>
                <w:sz w:val="18"/>
              </w:rPr>
              <w:t>/api/merchants</w:t>
            </w:r>
          </w:p>
        </w:tc>
        <w:tc>
          <w:tcPr>
            <w:tcW w:type="dxa" w:w="3312"/>
            <w:shd w:fill="F8FAFC"/>
            <w:tcMar>
              <w:top w:w="80" w:type="dxa"/>
              <w:bottom w:w="80" w:type="dxa"/>
              <w:left w:w="120" w:type="dxa"/>
              <w:right w:w="120" w:type="dxa"/>
            </w:tcMar>
          </w:tcPr>
          <w:p>
            <w:r>
              <w:rPr>
                <w:rFonts w:ascii="Calibri" w:hAnsi="Calibri"/>
                <w:color w:val="0F172A"/>
                <w:sz w:val="18"/>
              </w:rPr>
              <w:t>Lists all registered merchant profiles</w:t>
            </w:r>
          </w:p>
        </w:tc>
        <w:tc>
          <w:tcPr>
            <w:tcW w:type="dxa" w:w="1728"/>
            <w:shd w:fill="F8FAFC"/>
            <w:tcMar>
              <w:top w:w="80" w:type="dxa"/>
              <w:bottom w:w="80" w:type="dxa"/>
              <w:left w:w="120" w:type="dxa"/>
              <w:right w:w="120" w:type="dxa"/>
            </w:tcMar>
          </w:tcPr>
          <w:p>
            <w:r>
              <w:rPr>
                <w:rFonts w:ascii="Calibri" w:hAnsi="Calibri"/>
                <w:color w:val="0F172A"/>
                <w:sz w:val="18"/>
              </w:rPr>
              <w:t>Merchant profiles array</w:t>
            </w:r>
          </w:p>
        </w:tc>
      </w:tr>
      <w:tr>
        <w:tc>
          <w:tcPr>
            <w:tcW w:type="dxa" w:w="1152"/>
            <w:shd w:fill="FFFFFF"/>
            <w:tcMar>
              <w:top w:w="80" w:type="dxa"/>
              <w:bottom w:w="80" w:type="dxa"/>
              <w:left w:w="120" w:type="dxa"/>
              <w:right w:w="120" w:type="dxa"/>
            </w:tcMar>
          </w:tcPr>
          <w:p>
            <w:r>
              <w:rPr>
                <w:rFonts w:ascii="Calibri" w:hAnsi="Calibri"/>
                <w:color w:val="0F172A"/>
                <w:sz w:val="18"/>
              </w:rPr>
              <w:t>POST</w:t>
            </w:r>
          </w:p>
        </w:tc>
        <w:tc>
          <w:tcPr>
            <w:tcW w:type="dxa" w:w="3168"/>
            <w:shd w:fill="FFFFFF"/>
            <w:tcMar>
              <w:top w:w="80" w:type="dxa"/>
              <w:bottom w:w="80" w:type="dxa"/>
              <w:left w:w="120" w:type="dxa"/>
              <w:right w:w="120" w:type="dxa"/>
            </w:tcMar>
          </w:tcPr>
          <w:p>
            <w:r>
              <w:rPr>
                <w:rFonts w:ascii="Calibri" w:hAnsi="Calibri"/>
                <w:color w:val="0F172A"/>
                <w:sz w:val="18"/>
              </w:rPr>
              <w:t>/api/merchants</w:t>
            </w:r>
          </w:p>
        </w:tc>
        <w:tc>
          <w:tcPr>
            <w:tcW w:type="dxa" w:w="3312"/>
            <w:shd w:fill="FFFFFF"/>
            <w:tcMar>
              <w:top w:w="80" w:type="dxa"/>
              <w:bottom w:w="80" w:type="dxa"/>
              <w:left w:w="120" w:type="dxa"/>
              <w:right w:w="120" w:type="dxa"/>
            </w:tcMar>
          </w:tcPr>
          <w:p>
            <w:r>
              <w:rPr>
                <w:rFonts w:ascii="Calibri" w:hAnsi="Calibri"/>
                <w:color w:val="0F172A"/>
                <w:sz w:val="18"/>
              </w:rPr>
              <w:t>Registers or updates merchant profile</w:t>
            </w:r>
          </w:p>
        </w:tc>
        <w:tc>
          <w:tcPr>
            <w:tcW w:type="dxa" w:w="1728"/>
            <w:shd w:fill="FFFFFF"/>
            <w:tcMar>
              <w:top w:w="80" w:type="dxa"/>
              <w:bottom w:w="80" w:type="dxa"/>
              <w:left w:w="120" w:type="dxa"/>
              <w:right w:w="120" w:type="dxa"/>
            </w:tcMar>
          </w:tcPr>
          <w:p>
            <w:r>
              <w:rPr>
                <w:rFonts w:ascii="Calibri" w:hAnsi="Calibri"/>
                <w:color w:val="0F172A"/>
                <w:sz w:val="18"/>
              </w:rPr>
              <w:t>Saved merchant config</w:t>
            </w:r>
          </w:p>
        </w:tc>
      </w:tr>
      <w:tr>
        <w:tc>
          <w:tcPr>
            <w:tcW w:type="dxa" w:w="1152"/>
            <w:shd w:fill="F8FAFC"/>
            <w:tcMar>
              <w:top w:w="80" w:type="dxa"/>
              <w:bottom w:w="80" w:type="dxa"/>
              <w:left w:w="120" w:type="dxa"/>
              <w:right w:w="120" w:type="dxa"/>
            </w:tcMar>
          </w:tcPr>
          <w:p>
            <w:r>
              <w:rPr>
                <w:rFonts w:ascii="Calibri" w:hAnsi="Calibri"/>
                <w:color w:val="0F172A"/>
                <w:sz w:val="18"/>
              </w:rPr>
              <w:t>POST</w:t>
            </w:r>
          </w:p>
        </w:tc>
        <w:tc>
          <w:tcPr>
            <w:tcW w:type="dxa" w:w="3168"/>
            <w:shd w:fill="F8FAFC"/>
            <w:tcMar>
              <w:top w:w="80" w:type="dxa"/>
              <w:bottom w:w="80" w:type="dxa"/>
              <w:left w:w="120" w:type="dxa"/>
              <w:right w:w="120" w:type="dxa"/>
            </w:tcMar>
          </w:tcPr>
          <w:p>
            <w:r>
              <w:rPr>
                <w:rFonts w:ascii="Calibri" w:hAnsi="Calibri"/>
                <w:color w:val="0F172A"/>
                <w:sz w:val="18"/>
              </w:rPr>
              <w:t>/api/upload-terminal-file</w:t>
            </w:r>
          </w:p>
        </w:tc>
        <w:tc>
          <w:tcPr>
            <w:tcW w:type="dxa" w:w="3312"/>
            <w:shd w:fill="F8FAFC"/>
            <w:tcMar>
              <w:top w:w="80" w:type="dxa"/>
              <w:bottom w:w="80" w:type="dxa"/>
              <w:left w:w="120" w:type="dxa"/>
              <w:right w:w="120" w:type="dxa"/>
            </w:tcMar>
          </w:tcPr>
          <w:p>
            <w:r>
              <w:rPr>
                <w:rFonts w:ascii="Calibri" w:hAnsi="Calibri"/>
                <w:color w:val="0F172A"/>
                <w:sz w:val="18"/>
              </w:rPr>
              <w:t>Uploads terminal mapping master (TID_FILE)</w:t>
            </w:r>
          </w:p>
        </w:tc>
        <w:tc>
          <w:tcPr>
            <w:tcW w:type="dxa" w:w="1728"/>
            <w:shd w:fill="F8FAFC"/>
            <w:tcMar>
              <w:top w:w="80" w:type="dxa"/>
              <w:bottom w:w="80" w:type="dxa"/>
              <w:left w:w="120" w:type="dxa"/>
              <w:right w:w="120" w:type="dxa"/>
            </w:tcMar>
          </w:tcPr>
          <w:p>
            <w:r>
              <w:rPr>
                <w:rFonts w:ascii="Calibri" w:hAnsi="Calibri"/>
                <w:color w:val="0F172A"/>
                <w:sz w:val="18"/>
              </w:rPr>
              <w:t>Loaded mapping count</w:t>
            </w:r>
          </w:p>
        </w:tc>
      </w:tr>
      <w:tr>
        <w:tc>
          <w:tcPr>
            <w:tcW w:type="dxa" w:w="1152"/>
            <w:shd w:fill="FFFFFF"/>
            <w:tcMar>
              <w:top w:w="80" w:type="dxa"/>
              <w:bottom w:w="80" w:type="dxa"/>
              <w:left w:w="120" w:type="dxa"/>
              <w:right w:w="120" w:type="dxa"/>
            </w:tcMar>
          </w:tcPr>
          <w:p>
            <w:r>
              <w:rPr>
                <w:rFonts w:ascii="Calibri" w:hAnsi="Calibri"/>
                <w:color w:val="0F172A"/>
                <w:sz w:val="18"/>
              </w:rPr>
              <w:t>GET</w:t>
            </w:r>
          </w:p>
        </w:tc>
        <w:tc>
          <w:tcPr>
            <w:tcW w:type="dxa" w:w="3168"/>
            <w:shd w:fill="FFFFFF"/>
            <w:tcMar>
              <w:top w:w="80" w:type="dxa"/>
              <w:bottom w:w="80" w:type="dxa"/>
              <w:left w:w="120" w:type="dxa"/>
              <w:right w:w="120" w:type="dxa"/>
            </w:tcMar>
          </w:tcPr>
          <w:p>
            <w:r>
              <w:rPr>
                <w:rFonts w:ascii="Calibri" w:hAnsi="Calibri"/>
                <w:color w:val="0F172A"/>
                <w:sz w:val="18"/>
              </w:rPr>
              <w:t>/api/resolve-terminal</w:t>
            </w:r>
          </w:p>
        </w:tc>
        <w:tc>
          <w:tcPr>
            <w:tcW w:type="dxa" w:w="3312"/>
            <w:shd w:fill="FFFFFF"/>
            <w:tcMar>
              <w:top w:w="80" w:type="dxa"/>
              <w:bottom w:w="80" w:type="dxa"/>
              <w:left w:w="120" w:type="dxa"/>
              <w:right w:w="120" w:type="dxa"/>
            </w:tcMar>
          </w:tcPr>
          <w:p>
            <w:r>
              <w:rPr>
                <w:rFonts w:ascii="Calibri" w:hAnsi="Calibri"/>
                <w:color w:val="0F172A"/>
                <w:sz w:val="18"/>
              </w:rPr>
              <w:t>Resolves terminal context by TID or middle no.</w:t>
            </w:r>
          </w:p>
        </w:tc>
        <w:tc>
          <w:tcPr>
            <w:tcW w:type="dxa" w:w="1728"/>
            <w:shd w:fill="FFFFFF"/>
            <w:tcMar>
              <w:top w:w="80" w:type="dxa"/>
              <w:bottom w:w="80" w:type="dxa"/>
              <w:left w:w="120" w:type="dxa"/>
              <w:right w:w="120" w:type="dxa"/>
            </w:tcMar>
          </w:tcPr>
          <w:p>
            <w:r>
              <w:rPr>
                <w:rFonts w:ascii="Calibri" w:hAnsi="Calibri"/>
                <w:color w:val="0F172A"/>
                <w:sz w:val="18"/>
              </w:rPr>
              <w:t>Terminal ID &amp; Store Name</w:t>
            </w:r>
          </w:p>
        </w:tc>
      </w:tr>
      <w:tr>
        <w:tc>
          <w:tcPr>
            <w:tcW w:type="dxa" w:w="1152"/>
            <w:shd w:fill="F8FAFC"/>
            <w:tcMar>
              <w:top w:w="80" w:type="dxa"/>
              <w:bottom w:w="80" w:type="dxa"/>
              <w:left w:w="120" w:type="dxa"/>
              <w:right w:w="120" w:type="dxa"/>
            </w:tcMar>
          </w:tcPr>
          <w:p>
            <w:r>
              <w:rPr>
                <w:rFonts w:ascii="Calibri" w:hAnsi="Calibri"/>
                <w:color w:val="0F172A"/>
                <w:sz w:val="18"/>
              </w:rPr>
              <w:t>GET</w:t>
            </w:r>
          </w:p>
        </w:tc>
        <w:tc>
          <w:tcPr>
            <w:tcW w:type="dxa" w:w="3168"/>
            <w:shd w:fill="F8FAFC"/>
            <w:tcMar>
              <w:top w:w="80" w:type="dxa"/>
              <w:bottom w:w="80" w:type="dxa"/>
              <w:left w:w="120" w:type="dxa"/>
              <w:right w:w="120" w:type="dxa"/>
            </w:tcMar>
          </w:tcPr>
          <w:p>
            <w:r>
              <w:rPr>
                <w:rFonts w:ascii="Calibri" w:hAnsi="Calibri"/>
                <w:color w:val="0F172A"/>
                <w:sz w:val="18"/>
              </w:rPr>
              <w:t>/api/settings</w:t>
            </w:r>
          </w:p>
        </w:tc>
        <w:tc>
          <w:tcPr>
            <w:tcW w:type="dxa" w:w="3312"/>
            <w:shd w:fill="F8FAFC"/>
            <w:tcMar>
              <w:top w:w="80" w:type="dxa"/>
              <w:bottom w:w="80" w:type="dxa"/>
              <w:left w:w="120" w:type="dxa"/>
              <w:right w:w="120" w:type="dxa"/>
            </w:tcMar>
          </w:tcPr>
          <w:p>
            <w:r>
              <w:rPr>
                <w:rFonts w:ascii="Calibri" w:hAnsi="Calibri"/>
                <w:color w:val="0F172A"/>
                <w:sz w:val="18"/>
              </w:rPr>
              <w:t>Retrieves persistent API credentials</w:t>
            </w:r>
          </w:p>
        </w:tc>
        <w:tc>
          <w:tcPr>
            <w:tcW w:type="dxa" w:w="1728"/>
            <w:shd w:fill="F8FAFC"/>
            <w:tcMar>
              <w:top w:w="80" w:type="dxa"/>
              <w:bottom w:w="80" w:type="dxa"/>
              <w:left w:w="120" w:type="dxa"/>
              <w:right w:w="120" w:type="dxa"/>
            </w:tcMar>
          </w:tcPr>
          <w:p>
            <w:r>
              <w:rPr>
                <w:rFonts w:ascii="Calibri" w:hAnsi="Calibri"/>
                <w:color w:val="0F172A"/>
                <w:sz w:val="18"/>
              </w:rPr>
              <w:t>Auth token &amp; channel JSON</w:t>
            </w:r>
          </w:p>
        </w:tc>
      </w:tr>
      <w:tr>
        <w:tc>
          <w:tcPr>
            <w:tcW w:type="dxa" w:w="1152"/>
            <w:shd w:fill="FFFFFF"/>
            <w:tcMar>
              <w:top w:w="80" w:type="dxa"/>
              <w:bottom w:w="80" w:type="dxa"/>
              <w:left w:w="120" w:type="dxa"/>
              <w:right w:w="120" w:type="dxa"/>
            </w:tcMar>
          </w:tcPr>
          <w:p>
            <w:r>
              <w:rPr>
                <w:rFonts w:ascii="Calibri" w:hAnsi="Calibri"/>
                <w:color w:val="0F172A"/>
                <w:sz w:val="18"/>
              </w:rPr>
              <w:t>POST</w:t>
            </w:r>
          </w:p>
        </w:tc>
        <w:tc>
          <w:tcPr>
            <w:tcW w:type="dxa" w:w="3168"/>
            <w:shd w:fill="FFFFFF"/>
            <w:tcMar>
              <w:top w:w="80" w:type="dxa"/>
              <w:bottom w:w="80" w:type="dxa"/>
              <w:left w:w="120" w:type="dxa"/>
              <w:right w:w="120" w:type="dxa"/>
            </w:tcMar>
          </w:tcPr>
          <w:p>
            <w:r>
              <w:rPr>
                <w:rFonts w:ascii="Calibri" w:hAnsi="Calibri"/>
                <w:color w:val="0F172A"/>
                <w:sz w:val="18"/>
              </w:rPr>
              <w:t>/api/settings</w:t>
            </w:r>
          </w:p>
        </w:tc>
        <w:tc>
          <w:tcPr>
            <w:tcW w:type="dxa" w:w="3312"/>
            <w:shd w:fill="FFFFFF"/>
            <w:tcMar>
              <w:top w:w="80" w:type="dxa"/>
              <w:bottom w:w="80" w:type="dxa"/>
              <w:left w:w="120" w:type="dxa"/>
              <w:right w:w="120" w:type="dxa"/>
            </w:tcMar>
          </w:tcPr>
          <w:p>
            <w:r>
              <w:rPr>
                <w:rFonts w:ascii="Calibri" w:hAnsi="Calibri"/>
                <w:color w:val="0F172A"/>
                <w:sz w:val="18"/>
              </w:rPr>
              <w:t>Persists API credentials permanently</w:t>
            </w:r>
          </w:p>
        </w:tc>
        <w:tc>
          <w:tcPr>
            <w:tcW w:type="dxa" w:w="1728"/>
            <w:shd w:fill="FFFFFF"/>
            <w:tcMar>
              <w:top w:w="80" w:type="dxa"/>
              <w:bottom w:w="80" w:type="dxa"/>
              <w:left w:w="120" w:type="dxa"/>
              <w:right w:w="120" w:type="dxa"/>
            </w:tcMar>
          </w:tcPr>
          <w:p>
            <w:r>
              <w:rPr>
                <w:rFonts w:ascii="Calibri" w:hAnsi="Calibri"/>
                <w:color w:val="0F172A"/>
                <w:sz w:val="18"/>
              </w:rPr>
              <w:t>Success confirmation</w:t>
            </w:r>
          </w:p>
        </w:tc>
      </w:tr>
    </w:tbl>
    <w:p>
      <w:pPr>
        <w:spacing w:after="120"/>
      </w:pPr>
    </w:p>
    <w:p>
      <w:pPr>
        <w:pStyle w:val="Heading1"/>
        <w:keepNext/>
        <w:spacing w:before="280" w:after="80"/>
      </w:pPr>
      <w:r>
        <w:rPr>
          <w:rFonts w:ascii="Calibri" w:hAnsi="Calibri"/>
          <w:b/>
          <w:color w:val="1E3A8A"/>
          <w:sz w:val="32"/>
        </w:rPr>
        <w:t>5. Standardized Daily Operational Artifacts</w:t>
      </w:r>
    </w:p>
    <w:p>
      <w:pPr>
        <w:spacing w:before="0" w:after="80" w:line="276" w:lineRule="auto"/>
      </w:pPr>
      <w:r>
        <w:rPr>
          <w:rFonts w:ascii="Calibri" w:hAnsi="Calibri"/>
          <w:color w:val="0F172A"/>
          <w:sz w:val="20"/>
        </w:rPr>
        <w:t>During every operational run, Ops_Auto automatically generates 5 standardized business artifacts:</w:t>
      </w:r>
    </w:p>
    <w:p>
      <w:pPr>
        <w:spacing w:before="0" w:after="80" w:line="276" w:lineRule="auto"/>
      </w:pPr>
      <w:r>
        <w:rPr>
          <w:rFonts w:ascii="Calibri" w:hAnsi="Calibri"/>
          <w:color w:val="0F172A"/>
          <w:sz w:val="20"/>
        </w:rPr>
        <w:t>1. XCD_Reconciliation_YYYY-MM-DD.xlsx: The master 18-sheet audit workbook preserving all raw inputs, matched records, unmatched records, status conflicts, and financial summaries.</w:t>
      </w:r>
    </w:p>
    <w:p>
      <w:pPr>
        <w:spacing w:before="0" w:after="80" w:line="276" w:lineRule="auto"/>
      </w:pPr>
      <w:r>
        <w:rPr>
          <w:rFonts w:ascii="Calibri" w:hAnsi="Calibri"/>
          <w:color w:val="0F172A"/>
          <w:sz w:val="20"/>
        </w:rPr>
        <w:t>2. XCD Input file as on YYYY-MM-DD (Partner).xlsx: Bank settlement workbooks for Cashfree, Easebuzz, and Airtel filtered by specific settlement dates.</w:t>
      </w:r>
    </w:p>
    <w:p>
      <w:pPr>
        <w:spacing w:before="0" w:after="80" w:line="276" w:lineRule="auto"/>
      </w:pPr>
      <w:r>
        <w:rPr>
          <w:rFonts w:ascii="Calibri" w:hAnsi="Calibri"/>
          <w:color w:val="0F172A"/>
          <w:sz w:val="20"/>
        </w:rPr>
        <w:t>3. Sync_Transactions_YYYY-MM-DD.xlsx: Targeted SMMS bulk sync file containing CMS transactions where SMMS Sync Status = false.</w:t>
      </w:r>
    </w:p>
    <w:p>
      <w:pPr>
        <w:spacing w:before="0" w:after="80" w:line="276" w:lineRule="auto"/>
      </w:pPr>
      <w:r>
        <w:rPr>
          <w:rFonts w:ascii="Calibri" w:hAnsi="Calibri"/>
          <w:color w:val="0F172A"/>
          <w:sz w:val="20"/>
        </w:rPr>
        <w:t>4. Change_Network_YYYY-MM-DD.xlsx: Targeted CMS network update file containing genuine interchange reclassifications (e.g. RuPay CC on UPI).</w:t>
      </w:r>
    </w:p>
    <w:p>
      <w:pPr>
        <w:spacing w:before="0" w:after="80" w:line="276" w:lineRule="auto"/>
      </w:pPr>
      <w:r>
        <w:rPr>
          <w:rFonts w:ascii="Calibri" w:hAnsi="Calibri"/>
          <w:color w:val="0F172A"/>
          <w:sz w:val="20"/>
        </w:rPr>
        <w:t>5. Formatted Executive Settlement Email: Ready-to-paste executive email summary detailing active outlets (e.g. 1,435 outlets), transaction counts, gross values, PSP service fees, GST, and net merchant payouts.</w:t>
      </w:r>
    </w:p>
    <w:p>
      <w:pPr>
        <w:pStyle w:val="Heading1"/>
        <w:keepNext/>
        <w:spacing w:before="280" w:after="80"/>
      </w:pPr>
      <w:r>
        <w:rPr>
          <w:rFonts w:ascii="Calibri" w:hAnsi="Calibri"/>
          <w:b/>
          <w:color w:val="1E3A8A"/>
          <w:sz w:val="32"/>
        </w:rPr>
        <w:t>6. Production UI Screenshots &amp; Visual Walkthrough</w:t>
      </w:r>
    </w:p>
    <w:p>
      <w:pPr>
        <w:spacing w:before="0" w:after="80" w:line="276" w:lineRule="auto"/>
      </w:pPr>
      <w:r>
        <w:rPr>
          <w:rFonts w:ascii="Calibri" w:hAnsi="Calibri"/>
          <w:color w:val="0F172A"/>
          <w:sz w:val="20"/>
        </w:rPr>
        <w:t>Below are actual production screenshots from the Ops_Auto web platform documenting the interface:</w:t>
      </w:r>
    </w:p>
    <w:p>
      <w:pPr>
        <w:pStyle w:val="Heading2"/>
        <w:keepNext/>
        <w:spacing w:before="200" w:after="60"/>
      </w:pPr>
      <w:r>
        <w:rPr>
          <w:rFonts w:ascii="Calibri" w:hAnsi="Calibri"/>
          <w:b/>
          <w:color w:val="1A73E8"/>
          <w:sz w:val="26"/>
        </w:rPr>
        <w:t>Figure 1: Operations Dashboard &amp; Master Reconciliation Interface (Pre-flight Detection &amp; KPI Summary)</w:t>
      </w:r>
    </w:p>
    <w:p>
      <w:r>
        <w:drawing>
          <wp:inline xmlns:a="http://schemas.openxmlformats.org/drawingml/2006/main" xmlns:pic="http://schemas.openxmlformats.org/drawingml/2006/picture">
            <wp:extent cx="5760720" cy="3240405"/>
            <wp:docPr id="1" name="Picture 1"/>
            <wp:cNvGraphicFramePr>
              <a:graphicFrameLocks noChangeAspect="1"/>
            </wp:cNvGraphicFramePr>
            <a:graphic>
              <a:graphicData uri="http://schemas.openxmlformats.org/drawingml/2006/picture">
                <pic:pic>
                  <pic:nvPicPr>
                    <pic:cNvPr id="0" name="01_dashboard_reconciliation_overview.png"/>
                    <pic:cNvPicPr/>
                  </pic:nvPicPr>
                  <pic:blipFill>
                    <a:blip r:embed="rId9"/>
                    <a:stretch>
                      <a:fillRect/>
                    </a:stretch>
                  </pic:blipFill>
                  <pic:spPr>
                    <a:xfrm>
                      <a:off x="0" y="0"/>
                      <a:ext cx="5760720" cy="3240405"/>
                    </a:xfrm>
                    <a:prstGeom prst="rect"/>
                  </pic:spPr>
                </pic:pic>
              </a:graphicData>
            </a:graphic>
          </wp:inline>
        </w:drawing>
      </w:r>
    </w:p>
    <w:p>
      <w:pPr>
        <w:spacing w:before="40" w:after="160"/>
        <w:jc w:val="center"/>
      </w:pPr>
      <w:r>
        <w:rPr>
          <w:rFonts w:ascii="Calibri" w:hAnsi="Calibri"/>
          <w:i/>
          <w:color w:val="64748B"/>
          <w:sz w:val="17"/>
        </w:rPr>
        <w:t>📷 Figure 1: Operations Dashboard &amp; Master Reconciliation Interface (Pre-flight Detection &amp; KPI Summary)</w:t>
      </w:r>
    </w:p>
    <w:p>
      <w:pPr>
        <w:pStyle w:val="Heading2"/>
        <w:keepNext/>
        <w:spacing w:before="200" w:after="60"/>
      </w:pPr>
      <w:r>
        <w:rPr>
          <w:rFonts w:ascii="Calibri" w:hAnsi="Calibri"/>
          <w:b/>
          <w:color w:val="1A73E8"/>
          <w:sz w:val="26"/>
        </w:rPr>
        <w:t>Figure 2: Missing PG Transactions Queue &amp; Cross-System Status Conflicts Table</w:t>
      </w:r>
    </w:p>
    <w:p>
      <w:r>
        <w:drawing>
          <wp:inline xmlns:a="http://schemas.openxmlformats.org/drawingml/2006/main" xmlns:pic="http://schemas.openxmlformats.org/drawingml/2006/picture">
            <wp:extent cx="5760720" cy="3240405"/>
            <wp:docPr id="2" name="Picture 2"/>
            <wp:cNvGraphicFramePr>
              <a:graphicFrameLocks noChangeAspect="1"/>
            </wp:cNvGraphicFramePr>
            <a:graphic>
              <a:graphicData uri="http://schemas.openxmlformats.org/drawingml/2006/picture">
                <pic:pic>
                  <pic:nvPicPr>
                    <pic:cNvPr id="0" name="02_missing_pg_transactions_queue.png"/>
                    <pic:cNvPicPr/>
                  </pic:nvPicPr>
                  <pic:blipFill>
                    <a:blip r:embed="rId10"/>
                    <a:stretch>
                      <a:fillRect/>
                    </a:stretch>
                  </pic:blipFill>
                  <pic:spPr>
                    <a:xfrm>
                      <a:off x="0" y="0"/>
                      <a:ext cx="5760720" cy="3240405"/>
                    </a:xfrm>
                    <a:prstGeom prst="rect"/>
                  </pic:spPr>
                </pic:pic>
              </a:graphicData>
            </a:graphic>
          </wp:inline>
        </w:drawing>
      </w:r>
    </w:p>
    <w:p>
      <w:pPr>
        <w:spacing w:before="40" w:after="160"/>
        <w:jc w:val="center"/>
      </w:pPr>
      <w:r>
        <w:rPr>
          <w:rFonts w:ascii="Calibri" w:hAnsi="Calibri"/>
          <w:i/>
          <w:color w:val="64748B"/>
          <w:sz w:val="17"/>
        </w:rPr>
        <w:t>📷 Figure 2: Missing PG Transactions Queue &amp; Cross-System Status Conflicts Table</w:t>
      </w:r>
    </w:p>
    <w:p>
      <w:pPr>
        <w:pStyle w:val="Heading2"/>
        <w:keepNext/>
        <w:spacing w:before="200" w:after="60"/>
      </w:pPr>
      <w:r>
        <w:rPr>
          <w:rFonts w:ascii="Calibri" w:hAnsi="Calibri"/>
          <w:b/>
          <w:color w:val="1A73E8"/>
          <w:sz w:val="26"/>
        </w:rPr>
        <w:t>Figure 3: Dedicated Direct PG Report Upload &amp; One-Shot Bulk Pull Tool</w:t>
      </w:r>
    </w:p>
    <w:p>
      <w:r>
        <w:drawing>
          <wp:inline xmlns:a="http://schemas.openxmlformats.org/drawingml/2006/main" xmlns:pic="http://schemas.openxmlformats.org/drawingml/2006/picture">
            <wp:extent cx="5760720" cy="3240405"/>
            <wp:docPr id="3" name="Picture 3"/>
            <wp:cNvGraphicFramePr>
              <a:graphicFrameLocks noChangeAspect="1"/>
            </wp:cNvGraphicFramePr>
            <a:graphic>
              <a:graphicData uri="http://schemas.openxmlformats.org/drawingml/2006/picture">
                <pic:pic>
                  <pic:nvPicPr>
                    <pic:cNvPr id="0" name="03_pull_missing_direct_upload.png"/>
                    <pic:cNvPicPr/>
                  </pic:nvPicPr>
                  <pic:blipFill>
                    <a:blip r:embed="rId11"/>
                    <a:stretch>
                      <a:fillRect/>
                    </a:stretch>
                  </pic:blipFill>
                  <pic:spPr>
                    <a:xfrm>
                      <a:off x="0" y="0"/>
                      <a:ext cx="5760720" cy="3240405"/>
                    </a:xfrm>
                    <a:prstGeom prst="rect"/>
                  </pic:spPr>
                </pic:pic>
              </a:graphicData>
            </a:graphic>
          </wp:inline>
        </w:drawing>
      </w:r>
    </w:p>
    <w:p>
      <w:pPr>
        <w:spacing w:before="40" w:after="160"/>
        <w:jc w:val="center"/>
      </w:pPr>
      <w:r>
        <w:rPr>
          <w:rFonts w:ascii="Calibri" w:hAnsi="Calibri"/>
          <w:i/>
          <w:color w:val="64748B"/>
          <w:sz w:val="17"/>
        </w:rPr>
        <w:t>📷 Figure 3: Dedicated Direct PG Report Upload &amp; One-Shot Bulk Pull Tool</w:t>
      </w:r>
    </w:p>
    <w:p>
      <w:pPr>
        <w:pStyle w:val="Heading2"/>
        <w:keepNext/>
        <w:spacing w:before="200" w:after="60"/>
      </w:pPr>
      <w:r>
        <w:rPr>
          <w:rFonts w:ascii="Calibri" w:hAnsi="Calibri"/>
          <w:b/>
          <w:color w:val="1A73E8"/>
          <w:sz w:val="26"/>
        </w:rPr>
        <w:t>Figure 4: Postman Live Telemetry Inspector (Real-time HTTP Status, Latency ms &amp; Payload Inspector)</w:t>
      </w:r>
    </w:p>
    <w:p>
      <w:r>
        <w:drawing>
          <wp:inline xmlns:a="http://schemas.openxmlformats.org/drawingml/2006/main" xmlns:pic="http://schemas.openxmlformats.org/drawingml/2006/picture">
            <wp:extent cx="5760720" cy="3240405"/>
            <wp:docPr id="4" name="Picture 4"/>
            <wp:cNvGraphicFramePr>
              <a:graphicFrameLocks noChangeAspect="1"/>
            </wp:cNvGraphicFramePr>
            <a:graphic>
              <a:graphicData uri="http://schemas.openxmlformats.org/drawingml/2006/picture">
                <pic:pic>
                  <pic:nvPicPr>
                    <pic:cNvPr id="0" name="04_postman_live_telemetry_inspector.png"/>
                    <pic:cNvPicPr/>
                  </pic:nvPicPr>
                  <pic:blipFill>
                    <a:blip r:embed="rId12"/>
                    <a:stretch>
                      <a:fillRect/>
                    </a:stretch>
                  </pic:blipFill>
                  <pic:spPr>
                    <a:xfrm>
                      <a:off x="0" y="0"/>
                      <a:ext cx="5760720" cy="3240405"/>
                    </a:xfrm>
                    <a:prstGeom prst="rect"/>
                  </pic:spPr>
                </pic:pic>
              </a:graphicData>
            </a:graphic>
          </wp:inline>
        </w:drawing>
      </w:r>
    </w:p>
    <w:p>
      <w:pPr>
        <w:spacing w:before="40" w:after="160"/>
        <w:jc w:val="center"/>
      </w:pPr>
      <w:r>
        <w:rPr>
          <w:rFonts w:ascii="Calibri" w:hAnsi="Calibri"/>
          <w:i/>
          <w:color w:val="64748B"/>
          <w:sz w:val="17"/>
        </w:rPr>
        <w:t>📷 Figure 4: Postman Live Telemetry Inspector (Real-time HTTP Status, Latency ms &amp; Payload Inspector)</w:t>
      </w:r>
    </w:p>
    <w:p>
      <w:pPr>
        <w:pStyle w:val="Heading2"/>
        <w:keepNext/>
        <w:spacing w:before="200" w:after="60"/>
      </w:pPr>
      <w:r>
        <w:rPr>
          <w:rFonts w:ascii="Calibri" w:hAnsi="Calibri"/>
          <w:b/>
          <w:color w:val="1A73E8"/>
          <w:sz w:val="26"/>
        </w:rPr>
        <w:t>Figure 5: Multi-Merchant Terminal Directory Management (TID_FILE Search &amp; Outlet Resolver)</w:t>
      </w:r>
    </w:p>
    <w:p>
      <w:r>
        <w:drawing>
          <wp:inline xmlns:a="http://schemas.openxmlformats.org/drawingml/2006/main" xmlns:pic="http://schemas.openxmlformats.org/drawingml/2006/picture">
            <wp:extent cx="5760720" cy="3240405"/>
            <wp:docPr id="5" name="Picture 5"/>
            <wp:cNvGraphicFramePr>
              <a:graphicFrameLocks noChangeAspect="1"/>
            </wp:cNvGraphicFramePr>
            <a:graphic>
              <a:graphicData uri="http://schemas.openxmlformats.org/drawingml/2006/picture">
                <pic:pic>
                  <pic:nvPicPr>
                    <pic:cNvPr id="0" name="05_terminal_mapping_management.png"/>
                    <pic:cNvPicPr/>
                  </pic:nvPicPr>
                  <pic:blipFill>
                    <a:blip r:embed="rId13"/>
                    <a:stretch>
                      <a:fillRect/>
                    </a:stretch>
                  </pic:blipFill>
                  <pic:spPr>
                    <a:xfrm>
                      <a:off x="0" y="0"/>
                      <a:ext cx="5760720" cy="3240405"/>
                    </a:xfrm>
                    <a:prstGeom prst="rect"/>
                  </pic:spPr>
                </pic:pic>
              </a:graphicData>
            </a:graphic>
          </wp:inline>
        </w:drawing>
      </w:r>
    </w:p>
    <w:p>
      <w:pPr>
        <w:spacing w:before="40" w:after="160"/>
        <w:jc w:val="center"/>
      </w:pPr>
      <w:r>
        <w:rPr>
          <w:rFonts w:ascii="Calibri" w:hAnsi="Calibri"/>
          <w:i/>
          <w:color w:val="64748B"/>
          <w:sz w:val="17"/>
        </w:rPr>
        <w:t>📷 Figure 5: Multi-Merchant Terminal Directory Management (TID_FILE Search &amp; Outlet Resolver)</w:t>
      </w:r>
    </w:p>
    <w:p>
      <w:pPr>
        <w:pStyle w:val="Heading1"/>
        <w:keepNext/>
        <w:spacing w:before="280" w:after="80"/>
      </w:pPr>
      <w:r>
        <w:rPr>
          <w:rFonts w:ascii="Calibri" w:hAnsi="Calibri"/>
          <w:b/>
          <w:color w:val="1E3A8A"/>
          <w:sz w:val="32"/>
        </w:rPr>
        <w:t>7. Daily Standard Operating Procedure (SOP)</w:t>
      </w:r>
    </w:p>
    <w:p>
      <w:pPr>
        <w:spacing w:before="0" w:after="80" w:line="276" w:lineRule="auto"/>
      </w:pPr>
      <w:r>
        <w:rPr>
          <w:rFonts w:ascii="Calibri" w:hAnsi="Calibri"/>
          <w:color w:val="0F172A"/>
          <w:sz w:val="20"/>
        </w:rPr>
        <w:t>Follow this chronological sign-off checklist every morning during daily reconciliation:</w:t>
      </w:r>
    </w:p>
    <w:p>
      <w:pPr>
        <w:spacing w:before="0" w:after="80" w:line="276" w:lineRule="auto"/>
      </w:pPr>
      <w:r>
        <w:rPr>
          <w:rFonts w:ascii="Calibri" w:hAnsi="Calibri"/>
          <w:b/>
          <w:color w:val="0F172A"/>
          <w:sz w:val="20"/>
        </w:rPr>
        <w:t xml:space="preserve">Step 1: Daily Ingestion: </w:t>
      </w:r>
      <w:r>
        <w:rPr>
          <w:rFonts w:ascii="Calibri" w:hAnsi="Calibri"/>
          <w:color w:val="0F172A"/>
          <w:sz w:val="20"/>
        </w:rPr>
        <w:t>• Upload the 5 daily reports (CMS, SMMS, Cashfree, Easebuzz, Airtel) into the master dropzone.</w:t>
      </w:r>
    </w:p>
    <w:p>
      <w:pPr>
        <w:spacing w:before="0" w:after="80" w:line="276" w:lineRule="auto"/>
      </w:pPr>
      <w:r>
        <w:rPr>
          <w:rFonts w:ascii="Calibri" w:hAnsi="Calibri"/>
          <w:b/>
          <w:color w:val="0F172A"/>
          <w:sz w:val="20"/>
        </w:rPr>
        <w:t xml:space="preserve">Step 2: Missing PG Transactions: </w:t>
      </w:r>
      <w:r>
        <w:rPr>
          <w:rFonts w:ascii="Calibri" w:hAnsi="Calibri"/>
          <w:color w:val="0F172A"/>
          <w:sz w:val="20"/>
        </w:rPr>
        <w:t>• Review the 'Missing PG Transactions' table. Click 'Pull All' to ingest missing records into CMS via Decision API.</w:t>
      </w:r>
    </w:p>
    <w:p>
      <w:pPr>
        <w:spacing w:before="0" w:after="80" w:line="276" w:lineRule="auto"/>
      </w:pPr>
      <w:r>
        <w:rPr>
          <w:rFonts w:ascii="Calibri" w:hAnsi="Calibri"/>
          <w:b/>
          <w:color w:val="0F172A"/>
          <w:sz w:val="20"/>
        </w:rPr>
        <w:t xml:space="preserve">Step 3: SMMS Sync Upload: </w:t>
      </w:r>
      <w:r>
        <w:rPr>
          <w:rFonts w:ascii="Calibri" w:hAnsi="Calibri"/>
          <w:color w:val="0F172A"/>
          <w:sz w:val="20"/>
        </w:rPr>
        <w:t>• Download Sync_Transactions_YYYY-MM-DD.xlsx and upload to the CMS/SMMS admin portal to update Sync Status = true.</w:t>
      </w:r>
    </w:p>
    <w:p>
      <w:pPr>
        <w:spacing w:before="0" w:after="80" w:line="276" w:lineRule="auto"/>
      </w:pPr>
      <w:r>
        <w:rPr>
          <w:rFonts w:ascii="Calibri" w:hAnsi="Calibri"/>
          <w:b/>
          <w:color w:val="0F172A"/>
          <w:sz w:val="20"/>
        </w:rPr>
        <w:t xml:space="preserve">Step 4: Network Change Upload: </w:t>
      </w:r>
      <w:r>
        <w:rPr>
          <w:rFonts w:ascii="Calibri" w:hAnsi="Calibri"/>
          <w:color w:val="0F172A"/>
          <w:sz w:val="20"/>
        </w:rPr>
        <w:t>• Download Change_Network_YYYY-MM-DD.xlsx and upload to CMS to correct RuPay CC and Wallet interchange.</w:t>
      </w:r>
    </w:p>
    <w:p>
      <w:pPr>
        <w:spacing w:before="0" w:after="80" w:line="276" w:lineRule="auto"/>
      </w:pPr>
      <w:r>
        <w:rPr>
          <w:rFonts w:ascii="Calibri" w:hAnsi="Calibri"/>
          <w:b/>
          <w:color w:val="0F172A"/>
          <w:sz w:val="20"/>
        </w:rPr>
        <w:t xml:space="preserve">Step 5: Re-Reconciliation: </w:t>
      </w:r>
      <w:r>
        <w:rPr>
          <w:rFonts w:ascii="Calibri" w:hAnsi="Calibri"/>
          <w:color w:val="0F172A"/>
          <w:sz w:val="20"/>
        </w:rPr>
        <w:t>• Download refreshed CMS and SMMS reports, re-run reconciliation, and verify Difference == 0.00 (All Clear).</w:t>
      </w:r>
    </w:p>
    <w:p>
      <w:pPr>
        <w:spacing w:before="0" w:after="80" w:line="276" w:lineRule="auto"/>
      </w:pPr>
      <w:r>
        <w:rPr>
          <w:rFonts w:ascii="Calibri" w:hAnsi="Calibri"/>
          <w:b/>
          <w:color w:val="0F172A"/>
          <w:sz w:val="20"/>
        </w:rPr>
        <w:t xml:space="preserve">Step 6: Settlement Generation: </w:t>
      </w:r>
      <w:r>
        <w:rPr>
          <w:rFonts w:ascii="Calibri" w:hAnsi="Calibri"/>
          <w:color w:val="0F172A"/>
          <w:sz w:val="20"/>
        </w:rPr>
        <w:t>• Download partner XCD workbooks for Cashfree, Easebuzz, and Airtel (using date checkboxes if weekend batch).</w:t>
      </w:r>
    </w:p>
    <w:p>
      <w:pPr>
        <w:spacing w:before="0" w:after="80" w:line="276" w:lineRule="auto"/>
      </w:pPr>
      <w:r>
        <w:rPr>
          <w:rFonts w:ascii="Calibri" w:hAnsi="Calibri"/>
          <w:b/>
          <w:color w:val="0F172A"/>
          <w:sz w:val="20"/>
        </w:rPr>
        <w:t xml:space="preserve">Step 7: Executive Email Dispatch: </w:t>
      </w:r>
      <w:r>
        <w:rPr>
          <w:rFonts w:ascii="Calibri" w:hAnsi="Calibri"/>
          <w:color w:val="0F172A"/>
          <w:sz w:val="20"/>
        </w:rPr>
        <w:t>• Click 'Copy Formatted Text' on the dashboard and paste the executive summary into Outlook/Gmail with XCD attachments.</w:t>
      </w:r>
    </w:p>
    <w:p>
      <w:pPr>
        <w:pStyle w:val="Heading1"/>
        <w:keepNext/>
        <w:spacing w:before="280" w:after="80"/>
      </w:pPr>
      <w:r>
        <w:rPr>
          <w:rFonts w:ascii="Calibri" w:hAnsi="Calibri"/>
          <w:b/>
          <w:color w:val="1E3A8A"/>
          <w:sz w:val="32"/>
        </w:rPr>
        <w:t>8. Automated Test Suite Verification</w:t>
      </w:r>
    </w:p>
    <w:p>
      <w:pPr>
        <w:spacing w:before="0" w:after="80" w:line="276" w:lineRule="auto"/>
      </w:pPr>
      <w:r>
        <w:rPr>
          <w:rFonts w:ascii="Calibri" w:hAnsi="Calibri"/>
          <w:color w:val="0F172A"/>
          <w:sz w:val="20"/>
        </w:rPr>
        <w:t>The Ops_Auto codebase is protected by 58 automated unit and integration tests:</w:t>
      </w:r>
    </w:p>
    <w:tbl>
      <w:tblPr>
        <w:tblW w:type="auto" w:w="0"/>
        <w:jc w:val="center"/>
        <w:tblLayout w:type="fixed"/>
        <w:tblLook w:firstColumn="1" w:firstRow="1" w:lastColumn="0" w:lastRow="0" w:noHBand="0" w:noVBand="1" w:val="04A0"/>
      </w:tblPr>
      <w:tblGrid>
        <w:gridCol w:w="10080"/>
      </w:tblGrid>
      <w:tr>
        <w:tc>
          <w:tcPr>
            <w:tcW w:type="dxa" w:w="9360"/>
            <w:tcMar>
              <w:top w:w="100" w:type="dxa"/>
              <w:bottom w:w="100" w:type="dxa"/>
              <w:left w:w="140" w:type="dxa"/>
              <w:right w:w="140" w:type="dxa"/>
            </w:tcMar>
            <w:shd w:fill="0F172A"/>
          </w:tcPr>
          <w:p>
            <w:pPr>
              <w:spacing w:before="0" w:after="0"/>
            </w:pPr>
            <w:r>
              <w:rPr>
                <w:rFonts w:ascii="Consolas" w:hAnsi="Consolas"/>
                <w:color w:val="38BDF8"/>
                <w:sz w:val="17"/>
              </w:rPr>
              <w:t>Command: python -m unittest discover tests</w:t>
              <w:br/>
              <w:t>Result:  Ran 58 tests in 89.098s</w:t>
              <w:br/>
              <w:t>Status:  OK (100% Passing, 0 Failures, 0 Errors)</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9360"/>
            <w:tcMar>
              <w:top w:w="140" w:type="dxa"/>
              <w:bottom w:w="140" w:type="dxa"/>
              <w:left w:w="180" w:type="dxa"/>
              <w:right w:w="160" w:type="dxa"/>
            </w:tcMar>
            <w:shd w:fill="EFF6FF"/>
            <w:tcBorders>
              <w:left w:val="single" w:sz="24" w:space="0" w:color="1A73E8"/>
              <w:top w:val="none"/>
              <w:right w:val="none"/>
              <w:bottom w:val="none"/>
            </w:tcBorders>
          </w:tcPr>
          <w:p>
            <w:pPr>
              <w:spacing w:before="0" w:after="80"/>
            </w:pPr>
            <w:r>
              <w:rPr>
                <w:rFonts w:ascii="Calibri" w:hAnsi="Calibri"/>
                <w:b/>
                <w:color w:val="1E3A8A"/>
                <w:sz w:val="22"/>
              </w:rPr>
              <w:t>✅ Project Sign-Off</w:t>
              <w:br/>
            </w:r>
            <w:r>
              <w:rPr>
                <w:rFonts w:ascii="Calibri" w:hAnsi="Calibri"/>
                <w:color w:val="0F172A"/>
                <w:sz w:val="19"/>
              </w:rPr>
              <w:t>Ops_Auto Version 2.0 has been fully deployed, verified, and committed to git on branch 'main' at:</w:t>
              <w:br/>
              <w:t>https://github.com/Pradnyan-hegde/Ops_Auto.git</w:t>
            </w:r>
          </w:p>
        </w:tc>
      </w:tr>
    </w:tbl>
    <w:p>
      <w:pPr>
        <w:spacing w:before="0" w:after="8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