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96826171875" w:right="0" w:firstLine="0"/>
        <w:jc w:val="left"/>
        <w:rPr>
          <w:rFonts w:ascii="Times New Roman" w:cs="Times New Roman" w:eastAsia="Times New Roman" w:hAnsi="Times New Roman"/>
          <w:i w:val="0"/>
          <w:smallCaps w:val="0"/>
          <w:strike w:val="0"/>
          <w:color w:val="1155cc"/>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hd w:fill="auto" w:val="clear"/>
          <w:vertAlign w:val="baseline"/>
          <w:rtl w:val="0"/>
        </w:rPr>
        <w:t xml:space="preserve">Link</w:t>
      </w:r>
      <w:r w:rsidDel="00000000" w:rsidR="00000000" w:rsidRPr="00000000">
        <w:rPr>
          <w:rFonts w:ascii="Times New Roman" w:cs="Times New Roman" w:eastAsia="Times New Roman" w:hAnsi="Times New Roman"/>
          <w:b w:val="1"/>
          <w:rtl w:val="0"/>
        </w:rPr>
        <w:t xml:space="preserve">:  </w:t>
      </w:r>
      <w:hyperlink r:id="rId6">
        <w:r w:rsidDel="00000000" w:rsidR="00000000" w:rsidRPr="00000000">
          <w:rPr>
            <w:rFonts w:ascii="Times New Roman" w:cs="Times New Roman" w:eastAsia="Times New Roman" w:hAnsi="Times New Roman"/>
            <w:b w:val="1"/>
            <w:color w:val="1155cc"/>
            <w:u w:val="single"/>
            <w:rtl w:val="0"/>
          </w:rPr>
          <w:t xml:space="preserve">https://dl.acm.org/doi/10.1145/3531532</w:t>
        </w:r>
      </w:hyperlink>
      <w:r w:rsidDel="00000000" w:rsidR="00000000" w:rsidRPr="00000000">
        <w:rPr>
          <w:rtl w:val="0"/>
        </w:rPr>
      </w:r>
    </w:p>
    <w:p w:rsidR="00000000" w:rsidDel="00000000" w:rsidP="00000000" w:rsidRDefault="00000000" w:rsidRPr="00000000" w14:paraId="00000002">
      <w:pPr>
        <w:widowControl w:val="0"/>
        <w:spacing w:after="120" w:before="12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br w:type="textWrapping"/>
        <w:t xml:space="preserve">AI Compliance – Challenges of Bridging Data Science and Law​</w:t>
      </w:r>
    </w:p>
    <w:p w:rsidR="00000000" w:rsidDel="00000000" w:rsidP="00000000" w:rsidRDefault="00000000" w:rsidRPr="00000000" w14:paraId="00000003">
      <w:pPr>
        <w:widowControl w:val="0"/>
        <w:spacing w:after="120" w:before="24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IEEE-style citation</w:t>
        <w:br w:type="textWrapping"/>
        <w:t xml:space="preserve">P. Hacker and T. Naumann, “AI Compliance – Challenges of Bridging Data Science and Law,” J. Data Inf. Qual., vol. 14, no. 3, Article 18, 2022, doi: 10.1145/3531532.​</w:t>
      </w:r>
    </w:p>
    <w:p w:rsidR="00000000" w:rsidDel="00000000" w:rsidP="00000000" w:rsidRDefault="00000000" w:rsidRPr="00000000" w14:paraId="00000004">
      <w:pPr>
        <w:widowControl w:val="0"/>
        <w:spacing w:after="120" w:before="24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05">
      <w:pPr>
        <w:widowControl w:val="0"/>
        <w:spacing w:after="120" w:before="24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This article examines how legal compliance requirements interact with modern machine learning practice, arguing that many regulatory obligations like transparency, fairness, and accountability are hard to operationalize with contemporary data science pipelines and black-box models. The authors map legal concepts to technical artifacts, showing gaps between what laws demand (e.g., explainability, non-discrimination) and what common ML methods readily provide, especially under constraints like trade secrecy and performance-oriented development workflows. They highlight recurring friction points such as opacity in model architectures, dataset bias and representativeness issues, and challenges in traceability across data provenance, feature engineering, and deployment monitoring.​</w:t>
      </w:r>
    </w:p>
    <w:p w:rsidR="00000000" w:rsidDel="00000000" w:rsidP="00000000" w:rsidRDefault="00000000" w:rsidRPr="00000000" w14:paraId="00000006">
      <w:pPr>
        <w:widowControl w:val="0"/>
        <w:spacing w:after="120" w:before="24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bridge these gaps, the paper proposes a compliance-by-design approach that integrates legal risk controls into the ML lifecycle from data collection through monitoring, including documentation practices, model cards, data statements, and structured risk assessments aligned with regulatory principles. It emphasizes technical measures like interpretable modeling where feasible, post-hoc explainability tools, bias detection and mitigation pipelines, and robust validation strategies that reflect legal notions of fairness and accountability rather than only predictive accuracy. The work situates these recommendations within ongoing policy debates and evolving governance frameworks, positioning organizations to align data science with legal duties without sacrificing innovation or model performance more than necessary.</w:t>
      </w:r>
    </w:p>
    <w:p w:rsidR="00000000" w:rsidDel="00000000" w:rsidP="00000000" w:rsidRDefault="00000000" w:rsidRPr="00000000" w14:paraId="00000007">
      <w:pPr>
        <w:widowControl w:val="0"/>
        <w:spacing w:after="120" w:before="240" w:line="264.371738433837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540069580078125" w:right="17.75146484375" w:firstLine="4.17999267578125"/>
        <w:jc w:val="both"/>
        <w:rPr>
          <w:rFonts w:ascii="Times New Roman" w:cs="Times New Roman" w:eastAsia="Times New Roman" w:hAnsi="Times New Roman"/>
          <w:b w:val="1"/>
          <w:u w:val="single"/>
        </w:rPr>
      </w:pPr>
      <w:r w:rsidDel="00000000" w:rsidR="00000000" w:rsidRPr="00000000">
        <w:rPr>
          <w:rtl w:val="0"/>
        </w:rPr>
      </w:r>
    </w:p>
    <w:sectPr>
      <w:pgSz w:h="15840" w:w="12240" w:orient="portrait"/>
      <w:pgMar w:bottom="2565.65673828125" w:top="1664.0625" w:left="1439.7799682617188" w:right="1393.132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10.1145/3531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