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Link: </w:t>
      </w:r>
      <w:hyperlink r:id="rId6">
        <w:r w:rsidDel="00000000" w:rsidR="00000000" w:rsidRPr="00000000">
          <w:rPr>
            <w:rFonts w:ascii="Times New Roman" w:cs="Times New Roman" w:eastAsia="Times New Roman" w:hAnsi="Times New Roman"/>
            <w:color w:val="1155cc"/>
            <w:u w:val="single"/>
            <w:rtl w:val="0"/>
          </w:rPr>
          <w:t xml:space="preserve">https://link.springer.com/article/10.1007/s41870-024-02324-9</w:t>
        </w:r>
      </w:hyperlink>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Automated cybersecurity compliance and threat response using AI, blockchain and smart contracts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Citation:</w:t>
        <w:br w:type="textWrapping"/>
        <w:t xml:space="preserve">L. Alevizos, "Automated cybersecurity compliance and threat response using AI, blockchain and smart contracts," Int. J. Inf. Technol., vol. 17, pp. 767–781, Dec. 2024. </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br w:type="textWrapping"/>
        <w:t xml:space="preserve">This paper introduces a comprehensive framework that integrates artificial intelligence (AI), blockchain, and smart contracts to automate cybersecurity compliance and enhance threat response mechanisms within organizations. The proposed system aims to address the challenges of internal security policy compliance and dynamic threat response by automating the enforcement of security policies, thereby reducing manual effort and potential human error. AI is utilized to rapidly analyze cyber threat intelligence, identify non-compliances, and automatically adjust cyber defense mechanisms. Blockchain technology provides an immutable ledger for transparent logging of compliance actions, while smart contracts ensure uniform application of security measures. The framework's effectiveness is demonstrated through simulations, showing improvements in compliance enforcement rates and response times compared to traditional methods. Ultimately, the approach offers a scalable solution for managing complex security policies, reducing costs, and enhancing efficiency while achieving compliance. The paper also discusses practical implications and proposes future research directions to further refine the system and address implementation challenges.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springer.com/article/10.1007/s41870-024-02324-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