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9682617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shd w:fill="auto" w:val="clear"/>
          <w:vertAlign w:val="baseline"/>
          <w:rtl w:val="0"/>
        </w:rPr>
        <w:t xml:space="preserve">Link</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4a86e8"/>
            <w:u w:val="single"/>
            <w:rtl w:val="0"/>
          </w:rPr>
          <w:t xml:space="preserve">https://dl.acm.org/doi/10.1145/3689933.3690832</w:t>
        </w:r>
      </w:hyperlink>
      <w:r w:rsidDel="00000000" w:rsidR="00000000" w:rsidRPr="00000000">
        <w:rPr>
          <w:rFonts w:ascii="Times New Roman" w:cs="Times New Roman" w:eastAsia="Times New Roman" w:hAnsi="Times New Roman"/>
          <w:rtl w:val="0"/>
        </w:rPr>
        <w:br w:type="textWrapping"/>
        <w:br w:type="textWrapping"/>
        <w:t xml:space="preserve">Title</w:t>
        <w:br w:type="textWrapping"/>
        <w:t xml:space="preserve">Autonomous Cybersecurity: Evolving Challenges, Emerging Opportunities, and Research Roadmap​</w:t>
      </w:r>
    </w:p>
    <w:p w:rsidR="00000000" w:rsidDel="00000000" w:rsidP="00000000" w:rsidRDefault="00000000" w:rsidRPr="00000000" w14:paraId="00000002">
      <w:pPr>
        <w:widowControl w:val="0"/>
        <w:spacing w:after="12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IEEE-style citation</w:t>
        <w:br w:type="textWrapping"/>
        <w:t xml:space="preserve">A. Dehghantanha, A. Yazdinejad, and R. M. Parizi, “Autonomous Cybersecurity: Evolving Challenges, Emerging Opportunities, and Research Roadmap,” in Proceedings of the Workshop on Autonomous Cybersecurity (AutonomousCyber ’24), 2024, doi: 10.1145/3689933.3690832.​</w:t>
      </w:r>
    </w:p>
    <w:p w:rsidR="00000000" w:rsidDel="00000000" w:rsidP="00000000" w:rsidRDefault="00000000" w:rsidRPr="00000000" w14:paraId="00000003">
      <w:pPr>
        <w:widowControl w:val="0"/>
        <w:spacing w:after="12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t xml:space="preserve">This position paper outlines a vision for autonomous cybersecurity systems that can detect, decide, and act against threats with minimal human intervention, highlighting why increasing attack speed and scale demand automated defensive responses across endpoints, networks, cloud, and IoT environments. The authors chart the limitations of current SOC workflows—alert fatigue, skills shortages, and slow mean-time-to-respond—and argue that autonomy is needed not only for detection but also for end-to-end incident handling, including containment, remediation, and post-incident learning loops.​</w:t>
      </w:r>
    </w:p>
    <w:p w:rsidR="00000000" w:rsidDel="00000000" w:rsidP="00000000" w:rsidRDefault="00000000" w:rsidRPr="00000000" w14:paraId="00000004">
      <w:pPr>
        <w:widowControl w:val="0"/>
        <w:spacing w:after="12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catalogs enabling technologies such as AI-driven threat intelligence, reinforcement learning for decision-making, federated and privacy-preserving analytics, and formal methods for verifiable autonomy, while emphasizing safety constraints and governance requirements for trustworthy operation in production. Key challenges include reliable perception under adversarial manipulation, explainability for operator oversight, risk-aware actuation to avoid harmful actions, and robust human-on-the-loop interfaces for escalation and accountability.​</w:t>
      </w:r>
    </w:p>
    <w:p w:rsidR="00000000" w:rsidDel="00000000" w:rsidP="00000000" w:rsidRDefault="00000000" w:rsidRPr="00000000" w14:paraId="00000005">
      <w:pPr>
        <w:widowControl w:val="0"/>
        <w:spacing w:after="12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guide future work, the authors propose a research roadmap spanning standardized evaluation benchmarks, red-teaming methodologies for autonomous agents, secure data sharing across organizations, and integration patterns with existing SIEM/SOAR stacks and cloud-native telemetry. The roadmap stresses measurable safety and efficacy criteria, lifecycle assurance, and cross-disciplinary collaboration between AI, security engineering, and policy communities to ensure autonomous defenses remain controllable, auditable, and aligned with organizational risk tolerances.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9968261718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540069580078125" w:right="17.75146484375" w:firstLine="4.17999267578125"/>
        <w:jc w:val="both"/>
        <w:rPr>
          <w:rFonts w:ascii="Times New Roman" w:cs="Times New Roman" w:eastAsia="Times New Roman" w:hAnsi="Times New Roman"/>
          <w:u w:val="single"/>
        </w:rPr>
      </w:pPr>
      <w:r w:rsidDel="00000000" w:rsidR="00000000" w:rsidRPr="00000000">
        <w:rPr>
          <w:rtl w:val="0"/>
        </w:rPr>
      </w:r>
    </w:p>
    <w:sectPr>
      <w:pgSz w:h="15840" w:w="12240" w:orient="portrait"/>
      <w:pgMar w:bottom="2565.65673828125" w:top="1664.0625" w:left="1439.7799682617188" w:right="1393.132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10.1145/3689933.3690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