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https://dl.acm.org/doi/pdf/10.1145/3643691.3648589</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br w:type="textWrapping"/>
        </w:r>
      </w:hyperlink>
      <w:r w:rsidDel="00000000" w:rsidR="00000000" w:rsidRPr="00000000">
        <w:rPr>
          <w:rFonts w:ascii="Times New Roman" w:cs="Times New Roman" w:eastAsia="Times New Roman" w:hAnsi="Times New Roman"/>
          <w:rtl w:val="0"/>
        </w:rPr>
        <w:t xml:space="preserve">Title: Software Systems Compliance with the AI Act: Lessons Learned from an International Challenge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citation:</w:t>
        <w:br w:type="textWrapping"/>
        <w:t xml:space="preserve">T. Scantamburlo, P. Falcarin, A. Veneri, A. Fabris, C. Gallese, V. Billa, F. Rotolo, and F. Marcuzzi, “Software Systems Compliance with the AI Act: Lessons Learned from an International Challenge,” in Proc. 2nd International Workshop on Responsible AI Engineering (RAIE ’24), ACM, pp. 44-51, 2024, doi:10.1145/3643691.3648589.</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br w:type="textWrapping"/>
        <w:t xml:space="preserve">This paper describes a hands-on international challenge where interdisciplinary teams worked on assessing how well real-world software systems comply with the EU Artificial Intelligence Act (AI Act). The authors document what the challenge revealed about the difficulties of translating high-level legal/regulatory AI requirements into concrete artefacts within software engineering practice. They found that participants struggled with interpreting ambiguous regulatory language, mapping it to software requirements and documentation, and producing evidence of compliance in a reproducible manner. Moreover, the paper highlights that many systems described as “high-risk” under the Act lacked clear traceability of decisions, risk-management processes, or documentation aligned with the regulatory framework. The authors conclude by outlining key lessons: regulatory compliance requires both technical and organisational shifts, engineering teams need better guidance on how to embed the Act’s requirements into artefacts and workflows, and challenges remain in standardising the documentation and evaluation of AI systems under regulation.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pdf/10.1145/3643691.3648589" TargetMode="External"/><Relationship Id="rId7" Type="http://schemas.openxmlformats.org/officeDocument/2006/relationships/hyperlink" Target="https://dl.acm.org/doi/pdf/10.1145/3643691.3648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