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</w:rPr>
      </w:pPr>
      <w:bookmarkStart w:colFirst="0" w:colLast="0" w:name="_p2o3f5goqc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Link: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https://link.springer.com/article/10.1007/s00146-025-02320-y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2o3f5goqc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Title: The necessity of AI audit standards boards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d0ez5gxrio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IEEE citation:</w:t>
        <w:br w:type="textWrapping"/>
        <w:t xml:space="preserve">D. Manheim, S. Martin, M. Bailey, M. Samin, and R. Greutzmacher, “The necessity of AI audit standards boards,” AI &amp; Society, vol. 40, no. 5, pp. 1-16, May 2025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</w:rPr>
      </w:pPr>
      <w:bookmarkStart w:colFirst="0" w:colLast="0" w:name="_p2o3f5goqc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Summary:</w:t>
        <w:br w:type="textWrapping"/>
        <w:t xml:space="preserve">This paper argues that as artificial intelligence (AI) systems become increasingly powerful and pervasive, audits of these systems are becoming a critical governance mechanism. The authors note that existing approaches  such as internal audits by companies, transparency disclosures, or ad-hoc external audits  are insufficient and can even be counter-productive (e.g., becoming “safety-washing” rather than genuine accountability).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2o3f5goqc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They propose the creation of a dedicated “AI Audit Standards Board” (AASB)  a body akin to the audit/standards boards in safety-critical industries like aviation, nuclear, or pharmaceuticals. This board’s role would be to develop, maintain and update auditing standards suited to the fast-evolving nature of AI technologies, ensuring that audits remain relevant, credible, and robust. In the paper, they discuss several key issues: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2o3f5goqc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AI audits should focus not just on the final product (the deployed model) but also on the process: training data, algorithms, governance, and deployment lifecycle.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uwawizy247f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Current standards for AI evaluation and auditing are fragmented, rapidly outdated, and domain-specific in an inconsistent way  this fragmentation undermines credibility and effectiveness.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2o3f5goqc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Building a strong safety (and ethical) culture within organizations is as important as technical audits, and the board can help embed that cultural shift.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msj9gwueji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board would need to be flexible, globally coordinated, and inclusive of stakeholders (industry, regulators, civil society, technical experts) so that audit standards keep pace with innovation and risk emergence.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</w:pBdr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2o3f5goqceq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.springer.com/article/10.1007/s00146-025-02320-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