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w:t>
      </w:r>
      <w:hyperlink r:id="rId6">
        <w:r w:rsidDel="00000000" w:rsidR="00000000" w:rsidRPr="00000000">
          <w:rPr>
            <w:rFonts w:ascii="Times New Roman" w:cs="Times New Roman" w:eastAsia="Times New Roman" w:hAnsi="Times New Roman"/>
            <w:color w:val="1155cc"/>
            <w:sz w:val="24"/>
            <w:szCs w:val="24"/>
            <w:rtl w:val="0"/>
          </w:rPr>
          <w:t xml:space="preserve">https://dl.acm.org/doi/10.1145/3657054.3657141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2">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br w:type="textWrapping"/>
        <w:t xml:space="preserve">Towards a Privacy and Security-Aware Framework for Ethical AI​</w:t>
      </w:r>
    </w:p>
    <w:p w:rsidR="00000000" w:rsidDel="00000000" w:rsidP="00000000" w:rsidRDefault="00000000" w:rsidRPr="00000000" w14:paraId="00000003">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IEEE-style citation:</w:t>
        <w:br w:type="textWrapping"/>
        <w:t xml:space="preserve">D. Korobenko, A. Nikiforova, and R. Sharma, “Towards a Privacy and Security-Aware Framework for Ethical AI,” in dg.o ’24: Proceedings of the 25th Annual International Conference on Digital Government Research, Taipei, Taiwan, June 11–14, 2024, pp. 740–753, doi: 10.1145/3657054.3657141.​</w:t>
      </w:r>
    </w:p>
    <w:p w:rsidR="00000000" w:rsidDel="00000000" w:rsidP="00000000" w:rsidRDefault="00000000" w:rsidRPr="00000000" w14:paraId="00000004">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p w:rsidR="00000000" w:rsidDel="00000000" w:rsidP="00000000" w:rsidRDefault="00000000" w:rsidRPr="00000000" w14:paraId="00000005">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This paper presents a framework to weave privacy and security into practical AI ethics, focusing on implementable controls for public-sector AI systems rather than high-level principles alone. It connects privacy-by-design and security-by-design practices with trustworthy AI goals to create actionable requirements across data collection, model training, deployment, and monitoring in digital government services. The authors argue that measurable criteria and auditable processes are essential to translate ethical aspirations into day-to-day engineering and procurement decisions.​</w:t>
      </w:r>
    </w:p>
    <w:p w:rsidR="00000000" w:rsidDel="00000000" w:rsidP="00000000" w:rsidRDefault="00000000" w:rsidRPr="00000000" w14:paraId="00000006">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introduces checklists and metrics for data minimization, consent and purpose limitation, differential privacy options, secure development and access control, robustness testing, and post-deployment oversight with incident response and human-in-the-loop review. It advocates risk-tiered safeguards informed by threat modeling and continuous evaluation, cautioning against one-time compliance exercises that miss emergent risks in production. Overall, the work offers a roadmap for agencies to operationalize AI ethics without unnecessarily constraining innovation, aligning technical practices with regulatory and accountability needs.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99682617187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540069580078125" w:right="17.75146484375" w:firstLine="4.17999267578125"/>
        <w:jc w:val="both"/>
        <w:rPr>
          <w:rFonts w:ascii="Times New Roman" w:cs="Times New Roman" w:eastAsia="Times New Roman" w:hAnsi="Times New Roman"/>
          <w:u w:val="single"/>
        </w:rPr>
      </w:pPr>
      <w:r w:rsidDel="00000000" w:rsidR="00000000" w:rsidRPr="00000000">
        <w:rPr>
          <w:rtl w:val="0"/>
        </w:rPr>
      </w:r>
    </w:p>
    <w:sectPr>
      <w:pgSz w:h="15840" w:w="12240" w:orient="portrait"/>
      <w:pgMar w:bottom="2565.65673828125" w:top="1664.0625" w:left="1439.7799682617188" w:right="1393.13232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l.acm.org/doi/10.1145/3657054.36571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