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https://link.springer.com/article/10.1007/s10115-025-02429-y</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Artificial intelligence and machine learning in cybersecurity: a deep dive into state-of-the-art techniques and future paradigms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Citation:</w:t>
        <w:br w:type="textWrapping"/>
        <w:t xml:space="preserve">N. Mohamed, "Artificial intelligence and machine learning in cybersecurity: a deep dive into state-of-the-art techniques and future paradigms," Knowl. Inf. Syst., vol. 67, pp. 6969–7055, Apr. 2025.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comprehensive review explores the transformative role of artificial intelligence (AI) and machine learning (ML) in modern cybersecurity. It examines how these technologies enhance the detection, response, and mitigation of complex cyber threats, surpassing traditional defense mechanisms. The paper delves into state-of-the-art AI and ML techniques applied to areas such as intrusion detection, malware classification, behavioral analysis, and threat intelligence. It also addresses key limitations and emerging research gaps in AI-powered cybersecurity. A significant contribution of this work is its evaluation of adversarial defense mechanisms, focusing on how AI models can be hardened against adversarial attacks and data manipulation techniques. Additionally, the paper discusses the growing role of federated learning in collaborative threat intelligence, offering privacy-preserving security models that enhance real-time cyber defense across decentralized networks. The integration of AI with quantum computing for cryptographic resilience and its convergence with IoT security are also explored, shaping the next generation of adaptive cybersecurity frameworks. Furthermore, the paper proposes a forward-looking roadmap for sustainable AI-driven cybersecurity, emphasizing the need for adaptive adversarial defense systems, federated learning for global threat mitigation, and AI-enhanced cyber resilience frameworks. By bridging the gap between current AI-driven security solutions and future paradigms, this work serves as a valuable resource for researchers, cybersecurity professionals, and policymakers aiming to develop intelligent, scalable, and resilient cybersecurity architectures.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10115-025-02429-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