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Link: </w:t>
      </w:r>
      <w:hyperlink r:id="rId6">
        <w:r w:rsidDel="00000000" w:rsidR="00000000" w:rsidRPr="00000000">
          <w:rPr>
            <w:rFonts w:ascii="Times New Roman" w:cs="Times New Roman" w:eastAsia="Times New Roman" w:hAnsi="Times New Roman"/>
            <w:color w:val="1155cc"/>
            <w:u w:val="single"/>
            <w:rtl w:val="0"/>
          </w:rPr>
          <w:t xml:space="preserve">https://dl.acm.org/doi/fullHtml/10.1145/3685651.3686700</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Automating Cybersecurity Compliance in DevSecOps with Open Information Model for Security as Code</w:t>
      </w:r>
    </w:p>
    <w:p w:rsidR="00000000" w:rsidDel="00000000" w:rsidP="00000000" w:rsidRDefault="00000000" w:rsidRPr="00000000" w14:paraId="00000003">
      <w:pPr>
        <w:spacing w:after="240" w:before="240" w:lineRule="auto"/>
        <w:rPr>
          <w:rFonts w:ascii="Times New Roman" w:cs="Times New Roman" w:eastAsia="Times New Roman" w:hAnsi="Times New Roman"/>
          <w:color w:val="1155cc"/>
          <w:u w:val="single"/>
        </w:rPr>
      </w:pPr>
      <w:hyperlink r:id="rId7">
        <w:r w:rsidDel="00000000" w:rsidR="00000000" w:rsidRPr="00000000">
          <w:rPr>
            <w:rFonts w:ascii="Times New Roman" w:cs="Times New Roman" w:eastAsia="Times New Roman" w:hAnsi="Times New Roman"/>
            <w:color w:val="1155cc"/>
            <w:u w:val="single"/>
            <w:rtl w:val="0"/>
          </w:rPr>
          <w:br w:type="textWrapping"/>
        </w:r>
      </w:hyperlink>
      <w:r w:rsidDel="00000000" w:rsidR="00000000" w:rsidRPr="00000000">
        <w:rPr>
          <w:rFonts w:ascii="Times New Roman" w:cs="Times New Roman" w:eastAsia="Times New Roman" w:hAnsi="Times New Roman"/>
          <w:rtl w:val="0"/>
        </w:rPr>
        <w:t xml:space="preserve">IEEE citation:</w:t>
        <w:br w:type="textWrapping"/>
        <w:t xml:space="preserve">H. Haverinen, T. Janhunen, T. Päivärinta, S. Lempinen, S. Kaartinen, and S. Merilä, “Automating Cybersecurity Compliance in DevSecOps with Open Information Model for Security as Code,” in Proc. 4th Eclipse Security, AI, Architecture and Modelling Conference on Data Spaces (eSAAM 2024), Mainz, Germany, Oct. 22, 2024, pp. 93-102</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br w:type="textWrapping"/>
        <w:t xml:space="preserve">This paper addresses how software development teams are under increasing pressure to both build software quickly (via DevSecOps) and meet cybersecurity compliance standards and regulations. The authors note that applying a full compliance system (covering processes, tools, evidence gathering) inside agile/DevSecOps workflows is often tedious and costly. </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tackle this, the authors propose a solution called Cyberismo:</w:t>
      </w:r>
    </w:p>
    <w:p w:rsidR="00000000" w:rsidDel="00000000" w:rsidP="00000000" w:rsidRDefault="00000000" w:rsidRPr="00000000" w14:paraId="0000000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its core is an open information model that represents compliance and cybersecurity management artifacts (requirements, controls, evidence, processes) in plain-text, machine-readable format. </w:t>
      </w:r>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is tailored for integration into DevSecOps pipelines: that means it supports automation of verifying compliance (“Have we met the requirements?”) and gathering &amp; archiving evidence (“Show the proof we complied”) as code.</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map this information model to logic programming (specifically Answer Set Programming, ASP) so that complex queries, reasoning, and performance metrics can be derived automatically. For example: “Which project modules still lack evidence of compliance?” or “What controls are not yet satisfied?”</w:t>
      </w:r>
      <w:r w:rsidDel="00000000" w:rsidR="00000000" w:rsidRPr="00000000">
        <w:rPr>
          <w:rtl w:val="0"/>
        </w:rPr>
      </w:r>
    </w:p>
    <w:p w:rsidR="00000000" w:rsidDel="00000000" w:rsidP="00000000" w:rsidRDefault="00000000" w:rsidRPr="00000000" w14:paraId="0000000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emphasise that the tool is modular, tailorable (so organisations can plug it into their existing workflows and tools), and works even in open-source / cross-company contexts (not just closed commercial orgs). </w: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w:t>
        <w:br w:type="textWrapping"/>
        <w:t xml:space="preserve">The paper argues that instead of treating compliance and cybersecurity as separate, heavyweight processes after software development, we should re-frame them as integral to the development workflow  managed “as code” (just like infrastructure-as-code, configuration-as-code). By doing so, you automate a lot of the overhead, reduce cost and friction, and make it feasible for rapid DevSecOps teams (and even open-source communities) to keep up with regulatory demands. They demonstrate how their model and tool take you from “we need to show this control is satisfied” to “our build pipeline automatically validates control X, collects evidence Y, and records the result Z.”</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key takeaway: It’s not just about having the policies or documents; it’s about embedding compliance and security in the workflow, in a machine-readable, tool-driven, transparent way. They call this part of the “Everything as Code” / “Security as Code” ethos.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fullHtml/10.1145/3685651.3686700" TargetMode="External"/><Relationship Id="rId7" Type="http://schemas.openxmlformats.org/officeDocument/2006/relationships/hyperlink" Target="https://dl.acm.org/doi/10.1145/3685651.368670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