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1155cc"/>
          <w:u w:val="single"/>
        </w:rPr>
      </w:pPr>
      <w:r w:rsidDel="00000000" w:rsidR="00000000" w:rsidRPr="00000000">
        <w:rPr>
          <w:b w:val="1"/>
          <w:rtl w:val="0"/>
        </w:rPr>
        <w:t xml:space="preserve">Link:</w:t>
      </w:r>
      <w:r w:rsidDel="00000000" w:rsidR="00000000" w:rsidRPr="00000000">
        <w:rPr>
          <w:rtl w:val="0"/>
        </w:rPr>
        <w:t xml:space="preserve"> </w:t>
      </w:r>
      <w:hyperlink r:id="rId6">
        <w:r w:rsidDel="00000000" w:rsidR="00000000" w:rsidRPr="00000000">
          <w:rPr>
            <w:color w:val="1155cc"/>
            <w:u w:val="single"/>
            <w:rtl w:val="0"/>
          </w:rPr>
          <w:t xml:space="preserve">https://doi.org/10.1007/979-8-8688-0796-1_28</w:t>
        </w:r>
      </w:hyperlink>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rtl w:val="0"/>
        </w:rPr>
        <w:t xml:space="preserve">Title:</w:t>
      </w:r>
      <w:r w:rsidDel="00000000" w:rsidR="00000000" w:rsidRPr="00000000">
        <w:rPr>
          <w:rtl w:val="0"/>
        </w:rPr>
        <w:t xml:space="preserve"> Governance and Oversight of AI Systems</w:t>
      </w:r>
    </w:p>
    <w:p w:rsidR="00000000" w:rsidDel="00000000" w:rsidP="00000000" w:rsidRDefault="00000000" w:rsidRPr="00000000" w14:paraId="00000003">
      <w:pPr>
        <w:spacing w:after="240" w:before="240" w:lineRule="auto"/>
        <w:rPr/>
      </w:pPr>
      <w:r w:rsidDel="00000000" w:rsidR="00000000" w:rsidRPr="00000000">
        <w:rPr>
          <w:b w:val="1"/>
          <w:rtl w:val="0"/>
        </w:rPr>
        <w:t xml:space="preserve">IEEE Citation:</w:t>
        <w:br w:type="textWrapping"/>
      </w:r>
      <w:r w:rsidDel="00000000" w:rsidR="00000000" w:rsidRPr="00000000">
        <w:rPr>
          <w:rtl w:val="0"/>
        </w:rPr>
        <w:t xml:space="preserve">R. Sharma, "Governance and Oversight of AI Systems," in </w:t>
      </w:r>
      <w:r w:rsidDel="00000000" w:rsidR="00000000" w:rsidRPr="00000000">
        <w:rPr>
          <w:i w:val="1"/>
          <w:rtl w:val="0"/>
        </w:rPr>
        <w:t xml:space="preserve">AI and the Boardroom</w:t>
      </w:r>
      <w:r w:rsidDel="00000000" w:rsidR="00000000" w:rsidRPr="00000000">
        <w:rPr>
          <w:rtl w:val="0"/>
        </w:rPr>
        <w:t xml:space="preserve">, Apress, 2024, pp. 353–370.  </w:t>
      </w:r>
    </w:p>
    <w:p w:rsidR="00000000" w:rsidDel="00000000" w:rsidP="00000000" w:rsidRDefault="00000000" w:rsidRPr="00000000" w14:paraId="00000004">
      <w:pPr>
        <w:spacing w:after="240" w:before="240" w:lineRule="auto"/>
        <w:rPr/>
      </w:pPr>
      <w:r w:rsidDel="00000000" w:rsidR="00000000" w:rsidRPr="00000000">
        <w:rPr>
          <w:b w:val="1"/>
          <w:rtl w:val="0"/>
        </w:rPr>
        <w:t xml:space="preserve">Summary:</w:t>
        <w:br w:type="textWrapping"/>
      </w:r>
      <w:r w:rsidDel="00000000" w:rsidR="00000000" w:rsidRPr="00000000">
        <w:rPr>
          <w:rtl w:val="0"/>
        </w:rPr>
        <w:t xml:space="preserve">This chapter delves into the critical role of corporate boards in ensuring that artificial intelligence (AI) systems are trustworthy, ethical, and aligned with organizational values. As AI becomes increasingly integrated into business operations, effective governance and oversight are paramount. The author outlines practical strategies for boards to establish a robust AI governance framework, emphasizing the balance between innovation and ethical responsibility. Key recommendations include forming dedicated AI committees, conducting regular audits, developing comprehensive policies, and investing in AI literacy. Additionally, the chapter advocates for continuous monitoring, proactive risk assessments, and crisis management plans to address potential AI challenges. By embracing these practices, boards can enhance transparency, mitigate biases, and maintain accountability, thereby fostering a culture of responsibility in AI initiatives.</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springer.com/chapter/10.1007/979-8-8688-0796-1_2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