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Link:</w:t>
      </w:r>
      <w:r w:rsidDel="00000000" w:rsidR="00000000" w:rsidRPr="00000000">
        <w:rPr>
          <w:rFonts w:ascii="Times New Roman" w:cs="Times New Roman" w:eastAsia="Times New Roman" w:hAnsi="Times New Roman"/>
          <w:rtl w:val="0"/>
        </w:rPr>
        <w:t xml:space="preserve">Available: </w:t>
      </w:r>
      <w:hyperlink r:id="rId6">
        <w:r w:rsidDel="00000000" w:rsidR="00000000" w:rsidRPr="00000000">
          <w:rPr>
            <w:rFonts w:ascii="Times New Roman" w:cs="Times New Roman" w:eastAsia="Times New Roman" w:hAnsi="Times New Roman"/>
            <w:color w:val="1155cc"/>
            <w:u w:val="single"/>
            <w:rtl w:val="0"/>
          </w:rPr>
          <w:t xml:space="preserve">https://link.springer.com/article/10.1007/s43621-025-01058-3</w:t>
        </w:r>
      </w:hyperlink>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Title:</w:t>
      </w:r>
      <w:r w:rsidDel="00000000" w:rsidR="00000000" w:rsidRPr="00000000">
        <w:rPr>
          <w:rFonts w:ascii="Times New Roman" w:cs="Times New Roman" w:eastAsia="Times New Roman" w:hAnsi="Times New Roman"/>
          <w:rtl w:val="0"/>
        </w:rPr>
        <w:t xml:space="preserve"> Impact of artificial intelligence on auditing: an evaluation from the profession in Jordan</w:t>
      </w:r>
    </w:p>
    <w:p w:rsidR="00000000" w:rsidDel="00000000" w:rsidP="00000000" w:rsidRDefault="00000000" w:rsidRPr="00000000" w14:paraId="000000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IEEE Citation:</w:t>
        <w:br w:type="textWrapping"/>
      </w:r>
      <w:r w:rsidDel="00000000" w:rsidR="00000000" w:rsidRPr="00000000">
        <w:rPr>
          <w:rFonts w:ascii="Times New Roman" w:cs="Times New Roman" w:eastAsia="Times New Roman" w:hAnsi="Times New Roman"/>
          <w:rtl w:val="0"/>
        </w:rPr>
        <w:t xml:space="preserve">E. Pérez-Calderón, S. A. Alrahamneh, and P. Milanés Montero, "Impact of artificial intelligence on auditing: an evaluation from the profession in Jordan," </w:t>
      </w:r>
      <w:r w:rsidDel="00000000" w:rsidR="00000000" w:rsidRPr="00000000">
        <w:rPr>
          <w:rFonts w:ascii="Times New Roman" w:cs="Times New Roman" w:eastAsia="Times New Roman" w:hAnsi="Times New Roman"/>
          <w:i w:val="1"/>
          <w:rtl w:val="0"/>
        </w:rPr>
        <w:t xml:space="preserve">Discover Sustainability</w:t>
      </w:r>
      <w:r w:rsidDel="00000000" w:rsidR="00000000" w:rsidRPr="00000000">
        <w:rPr>
          <w:rFonts w:ascii="Times New Roman" w:cs="Times New Roman" w:eastAsia="Times New Roman" w:hAnsi="Times New Roman"/>
          <w:rtl w:val="0"/>
        </w:rPr>
        <w:t xml:space="preserve">, vol. 6, no. 251, pp. 1–15, Apr. 2025. [Online]. </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Summary:</w:t>
        <w:br w:type="textWrapping"/>
      </w:r>
      <w:r w:rsidDel="00000000" w:rsidR="00000000" w:rsidRPr="00000000">
        <w:rPr>
          <w:rFonts w:ascii="Times New Roman" w:cs="Times New Roman" w:eastAsia="Times New Roman" w:hAnsi="Times New Roman"/>
          <w:rtl w:val="0"/>
        </w:rPr>
        <w:t xml:space="preserve">This study examines how artificial intelligence (AI) has transformed auditing practices within the Jordan Free and Development Zones Group. Through a structured survey of 336 auditors, the research identifies key areas where AI has enhanced audit efficiency, accuracy, and client communication. The findings indicate that AI integration has streamlined auditing processes, improved governance practices, and facilitated better task management. However, challenges such as inadequate technological infrastructure, data privacy concerns, and the need for comprehensive auditor training remain significant barriers to full AI adoption. The study emphasizes the importance of tailored strategies for AI implementation, including strengthening regulatory frameworks, investing in secure AI systems, and providing ongoing training to auditors. These insights offer valuable implications for audit firms and policymakers aiming to leverage AI for enhanced audit quality and efficiency.</w:t>
      </w:r>
    </w:p>
    <w:p w:rsidR="00000000" w:rsidDel="00000000" w:rsidP="00000000" w:rsidRDefault="00000000" w:rsidRPr="00000000" w14:paraId="00000005">
      <w:pPr>
        <w:rPr>
          <w:rFonts w:ascii="Times New Roman" w:cs="Times New Roman" w:eastAsia="Times New Roman" w:hAnsi="Times New Roman"/>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article/10.1007/s43621-025-01058-3?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