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96826171875" w:right="0" w:firstLine="0"/>
        <w:jc w:val="left"/>
        <w:rPr>
          <w:rFonts w:ascii="Times New Roman" w:cs="Times New Roman" w:eastAsia="Times New Roman" w:hAnsi="Times New Roman"/>
          <w:i w:val="0"/>
          <w:smallCaps w:val="0"/>
          <w:strike w:val="0"/>
          <w:color w:val="1155cc"/>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hd w:fill="auto" w:val="clear"/>
          <w:vertAlign w:val="baseline"/>
          <w:rtl w:val="0"/>
        </w:rPr>
        <w:t xml:space="preserve">Link</w:t>
      </w:r>
      <w:r w:rsidDel="00000000" w:rsidR="00000000" w:rsidRPr="00000000">
        <w:rPr>
          <w:rFonts w:ascii="Times New Roman" w:cs="Times New Roman" w:eastAsia="Times New Roman" w:hAnsi="Times New Roman"/>
          <w:b w:val="1"/>
          <w:rtl w:val="0"/>
        </w:rPr>
        <w:t xml:space="preserve">:  </w:t>
      </w:r>
      <w:hyperlink r:id="rId6">
        <w:r w:rsidDel="00000000" w:rsidR="00000000" w:rsidRPr="00000000">
          <w:rPr>
            <w:rFonts w:ascii="Times New Roman" w:cs="Times New Roman" w:eastAsia="Times New Roman" w:hAnsi="Times New Roman"/>
            <w:b w:val="1"/>
            <w:color w:val="1155cc"/>
            <w:u w:val="single"/>
            <w:rtl w:val="0"/>
          </w:rPr>
          <w:t xml:space="preserve">https://dl.acm.org/doi/10.1145/3744367.3744395</w:t>
        </w:r>
      </w:hyperlink>
      <w:r w:rsidDel="00000000" w:rsidR="00000000" w:rsidRPr="00000000">
        <w:rPr>
          <w:rtl w:val="0"/>
        </w:rPr>
      </w:r>
    </w:p>
    <w:p w:rsidR="00000000" w:rsidDel="00000000" w:rsidP="00000000" w:rsidRDefault="00000000" w:rsidRPr="00000000" w14:paraId="00000002">
      <w:pPr>
        <w:widowControl w:val="0"/>
        <w:spacing w:after="120" w:before="12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br w:type="textWrapping"/>
        <w:t xml:space="preserve">Research on Security Risks and Supervision of Generative AI Large Models​</w:t>
      </w:r>
    </w:p>
    <w:p w:rsidR="00000000" w:rsidDel="00000000" w:rsidP="00000000" w:rsidRDefault="00000000" w:rsidRPr="00000000" w14:paraId="00000003">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IEEE-style citation:</w:t>
        <w:br w:type="textWrapping"/>
        <w:t xml:space="preserve">X. Li and Y. Wang, “Research on Security Risks and Supervision of Generative AI Large Models,” in Proceedings of the 2025 International Conference on Artificial Intelligence and Computer Engineering (ICAICE), pp. 176–181, 2025, doi: 10.1145/3744367.3744395.​</w:t>
      </w:r>
    </w:p>
    <w:p w:rsidR="00000000" w:rsidDel="00000000" w:rsidP="00000000" w:rsidRDefault="00000000" w:rsidRPr="00000000" w14:paraId="00000004">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analyzes how generative AI large models exemplified by systems like ChatGPT, Midjourney, and Sora introduce new categories of security risks compared to traditional machine learning models, and it proposes a supervisory framework to mitigate those risks across the model lifecycle. The authors outline threat categories including data leakage during training and inference, model hallucination leading to harmful or deceptive content, prompt injection and jailbreaks, privacy violations from memorization of sensitive data, and misuse risks such as deepfakes and automated cyber offenses. They argue these risks stem from the models’ scale, multimodal capabilities, and openness to broad user prompts, which make deterministic guardrails difficult to enforce at runtime.​</w:t>
      </w:r>
    </w:p>
    <w:p w:rsidR="00000000" w:rsidDel="00000000" w:rsidP="00000000" w:rsidRDefault="00000000" w:rsidRPr="00000000" w14:paraId="00000005">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recommends a layered governance approach that spans dataset governance, model governance, application governance, and platform/ecosystem governance, supported by continuous auditing and red-teaming benchmarks tailored to generative behavior rather than classic classification metrics alone. Proposed controls include differential privacy and data minimization for training, alignment and RLHF fine-tuning with safety policies, robust prompt filtering and output moderation, watermarking and provenance tagging for generated content, and incident reporting pipelines backed by regulatory compliance checks. The authors also emphasize standardized evaluation suites for toxicity, bias, factuality, and resistance to adversarial prompting, arguing that measurable safety indicators should be prerequisites for model deployment at scale.​</w:t>
      </w:r>
    </w:p>
    <w:p w:rsidR="00000000" w:rsidDel="00000000" w:rsidP="00000000" w:rsidRDefault="00000000" w:rsidRPr="00000000" w14:paraId="00000006">
      <w:pPr>
        <w:widowControl w:val="0"/>
        <w:spacing w:after="120" w:before="240" w:line="264.371738433837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paper calls for coordinated supervision among developers, platforms, enterprises, and regulators, contending that effective oversight requires transparency about data sources, safety tuning procedures, and known model limitations to enable accountability and informed risk acceptance. By integrating technical safeguards with policy instruments, the work positions generative AI governance as a continuous, lifecycle process rather than a one-time certification, aiming to reduce systemic risks while preserving innovation benefits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40069580078125" w:right="17.75146484375" w:firstLine="4.17999267578125"/>
        <w:jc w:val="both"/>
        <w:rPr>
          <w:rFonts w:ascii="Times New Roman" w:cs="Times New Roman" w:eastAsia="Times New Roman" w:hAnsi="Times New Roman"/>
          <w:b w:val="1"/>
          <w:u w:val="single"/>
        </w:rPr>
      </w:pPr>
      <w:r w:rsidDel="00000000" w:rsidR="00000000" w:rsidRPr="00000000">
        <w:rPr>
          <w:rtl w:val="0"/>
        </w:rPr>
      </w:r>
    </w:p>
    <w:sectPr>
      <w:pgSz w:h="15840" w:w="12240" w:orient="portrait"/>
      <w:pgMar w:bottom="2565.65673828125" w:top="1664.0625" w:left="1439.7799682617188" w:right="1393.13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744367.37443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