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rtl w:val="0"/>
        </w:rPr>
        <w:t xml:space="preserve">Link:</w:t>
      </w:r>
      <w:r w:rsidDel="00000000" w:rsidR="00000000" w:rsidRPr="00000000">
        <w:rPr>
          <w:rtl w:val="0"/>
        </w:rPr>
        <w:t xml:space="preserve"> </w:t>
      </w:r>
      <w:hyperlink r:id="rId6">
        <w:r w:rsidDel="00000000" w:rsidR="00000000" w:rsidRPr="00000000">
          <w:rPr>
            <w:color w:val="1155cc"/>
            <w:u w:val="single"/>
            <w:rtl w:val="0"/>
          </w:rPr>
          <w:t xml:space="preserve">https://link.springer.com/article/10.1007/s42979-025-03962-x</w:t>
        </w:r>
      </w:hyperlink>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b w:val="1"/>
          <w:rtl w:val="0"/>
        </w:rPr>
        <w:t xml:space="preserve">Title:</w:t>
      </w:r>
      <w:r w:rsidDel="00000000" w:rsidR="00000000" w:rsidRPr="00000000">
        <w:rPr>
          <w:rtl w:val="0"/>
        </w:rPr>
        <w:t xml:space="preserve"> Shadow AI: Cyber Security Implications, Opportunities and Challenges in the Unseen Frontier</w:t>
      </w:r>
    </w:p>
    <w:p w:rsidR="00000000" w:rsidDel="00000000" w:rsidP="00000000" w:rsidRDefault="00000000" w:rsidRPr="00000000" w14:paraId="00000003">
      <w:pPr>
        <w:spacing w:after="240" w:before="240" w:lineRule="auto"/>
        <w:rPr/>
      </w:pPr>
      <w:r w:rsidDel="00000000" w:rsidR="00000000" w:rsidRPr="00000000">
        <w:rPr>
          <w:b w:val="1"/>
          <w:rtl w:val="0"/>
        </w:rPr>
        <w:t xml:space="preserve">IEEE Citation:</w:t>
        <w:br w:type="textWrapping"/>
      </w:r>
      <w:r w:rsidDel="00000000" w:rsidR="00000000" w:rsidRPr="00000000">
        <w:rPr>
          <w:rtl w:val="0"/>
        </w:rPr>
        <w:t xml:space="preserve">D. Puthal, A. K. Mishra, S. P. Mohanty, A. Longo, and C. Y. Yeun, "Shadow AI: Cyber Security Implications, Opportunities and Challenges in the Unseen Frontier," </w:t>
      </w:r>
      <w:r w:rsidDel="00000000" w:rsidR="00000000" w:rsidRPr="00000000">
        <w:rPr>
          <w:i w:val="1"/>
          <w:rtl w:val="0"/>
        </w:rPr>
        <w:t xml:space="preserve">SN Computer Science</w:t>
      </w:r>
      <w:r w:rsidDel="00000000" w:rsidR="00000000" w:rsidRPr="00000000">
        <w:rPr>
          <w:rtl w:val="0"/>
        </w:rPr>
        <w:t xml:space="preserve">, vol. 6, no. 405, pp. 1–22, Apr. 2025.</w:t>
      </w:r>
    </w:p>
    <w:p w:rsidR="00000000" w:rsidDel="00000000" w:rsidP="00000000" w:rsidRDefault="00000000" w:rsidRPr="00000000" w14:paraId="00000004">
      <w:pPr>
        <w:spacing w:after="240" w:before="240" w:lineRule="auto"/>
        <w:rPr/>
      </w:pPr>
      <w:r w:rsidDel="00000000" w:rsidR="00000000" w:rsidRPr="00000000">
        <w:rPr>
          <w:b w:val="1"/>
          <w:rtl w:val="0"/>
        </w:rPr>
        <w:t xml:space="preserve">Summary:</w:t>
        <w:br w:type="textWrapping"/>
      </w:r>
      <w:r w:rsidDel="00000000" w:rsidR="00000000" w:rsidRPr="00000000">
        <w:rPr>
          <w:rtl w:val="0"/>
        </w:rPr>
        <w:t xml:space="preserve">This paper explores the emerging phenomenon of "Shadow AI," referring to the unauthorized use of artificial intelligence tools within organizations without IT or cybersecurity oversight. While these tools can drive innovation and efficiency, they introduce significant cybersecurity risks, including data breaches, compliance violations, and expanded attack surfaces. The authors discuss the dual nature of Shadow AI, highlighting both its potential benefits and the challenges it poses to organizational security frameworks. They emphasize the need for organizations to develop strategies that balance innovation with robust security measures to mitigate the risks associated with Shadow AI.</w:t>
      </w:r>
    </w:p>
    <w:p w:rsidR="00000000" w:rsidDel="00000000" w:rsidP="00000000" w:rsidRDefault="00000000" w:rsidRPr="00000000" w14:paraId="0000000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nk.springer.com/article/10.1007/s42979-025-03962-x?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