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B407" w14:textId="77777777" w:rsidR="005F0C00" w:rsidRDefault="00000000">
      <w:pPr>
        <w:pStyle w:val="papertitle"/>
        <w:spacing w:beforeAutospacing="1" w:afterAutospacing="1"/>
      </w:pPr>
      <w:r>
        <w:t>An Empirical Examination of Code Smell Severity and Structural Influence in Extensive Open-Source Systems</w:t>
      </w:r>
    </w:p>
    <w:p w14:paraId="332046DD" w14:textId="77777777" w:rsidR="005F0C00" w:rsidRDefault="005F0C00">
      <w:pPr>
        <w:sectPr w:rsidR="005F0C00">
          <w:headerReference w:type="even" r:id="rId7"/>
          <w:headerReference w:type="default" r:id="rId8"/>
          <w:footerReference w:type="even" r:id="rId9"/>
          <w:footerReference w:type="default" r:id="rId10"/>
          <w:headerReference w:type="first" r:id="rId11"/>
          <w:footerReference w:type="first" r:id="rId12"/>
          <w:pgSz w:w="11906" w:h="16838"/>
          <w:pgMar w:top="777" w:right="893" w:bottom="1440" w:left="893" w:header="720" w:footer="720" w:gutter="0"/>
          <w:cols w:space="720"/>
          <w:formProt w:val="0"/>
          <w:titlePg/>
          <w:docGrid w:linePitch="360" w:charSpace="8192"/>
        </w:sectPr>
      </w:pPr>
    </w:p>
    <w:p>
      <w:pPr>
        <w:pStyle w:val="Author"/>
        <w:spacing w:beforeAutospacing="1"/>
        <w:rPr>
          <w:sz w:val="18"/>
          <w:szCs w:val="18"/>
        </w:rPr>
      </w:pPr>
      <w:r>
        <w:rPr>
          <w:sz w:val="18"/>
          <w:szCs w:val="18"/>
        </w:rPr>
        <w:t xml:space="preserve">Neelam Rawat</w:t>
        <w:br/>
        <w:t xml:space="preserve">Department of Computer Applications</w:t>
        <w:br/>
        <w:t xml:space="preserve">Krishna Institute of Engineering &amp; Technology (KIET)</w:t>
        <w:br/>
        <w:t xml:space="preserve">Ghaziabad, Delhi-NCR, Uttar Pradesh, India</w:t>
      </w:r>
    </w:p>
    <w:p>
      <w:pPr>
        <w:pStyle w:val="Author"/>
        <w:spacing w:before="0" w:after="0"/>
        <w:rPr>
          <w:sz w:val="18"/>
          <w:szCs w:val="18"/>
        </w:rPr>
      </w:pPr>
      <w:r>
        <w:br w:type="column"/>
      </w:r>
      <w:r>
        <w:rPr>
          <w:sz w:val="18"/>
          <w:szCs w:val="18"/>
        </w:rPr>
        <w:t xml:space="preserve">Prafful Gupta</w:t>
        <w:br/>
        <w:t xml:space="preserve">Department of Computer Applications</w:t>
        <w:br/>
        <w:t xml:space="preserve">Krishna Institute of Engineering &amp; Technology (KIET)</w:t>
        <w:br/>
        <w:t xml:space="preserve">Ghaziabad, Delhi-NCR, Uttar Pradesh, India</w:t>
        <w:br/>
        <w:t xml:space="preserve">prafful.25161161@kiet.edu</w:t>
        <w:br/>
        <w:t xml:space="preserve">0009-0006-0857-8044</w:t>
      </w:r>
    </w:p>
    <w:p>
      <w:pPr>
        <w:pStyle w:val="Author"/>
        <w:spacing w:before="0" w:after="0"/>
        <w:rPr>
          <w:sz w:val="18"/>
          <w:szCs w:val="18"/>
        </w:rPr>
      </w:pPr>
      <w:r>
        <w:br w:type="column"/>
      </w:r>
      <w:r>
        <w:rPr>
          <w:sz w:val="18"/>
          <w:szCs w:val="18"/>
        </w:rPr>
        <w:t xml:space="preserve">Prashant Kumar Singh</w:t>
        <w:br/>
        <w:t xml:space="preserve">Department of Computer Applications</w:t>
        <w:br/>
        <w:t xml:space="preserve">Krishna Institute of Engineering &amp; Technology (KIET)</w:t>
        <w:br/>
        <w:t xml:space="preserve">Ghaziabad, Delhi-NCR, Uttar Pradesh, India</w:t>
        <w:br/>
        <w:t xml:space="preserve">prashantkumar532004@gmail.com</w:t>
        <w:br/>
        <w:t xml:space="preserve">0009-0007-4853-2814</w:t>
      </w:r>
    </w:p>
    <w:p>
      <w:pPr>
        <w:sectPr>
          <w:type w:val="continuous"/>
          <w:pgSz w:w="11906" w:h="16838"/>
          <w:pgMar w:top="777" w:right="893" w:bottom="1440" w:left="893" w:header="720" w:footer="720" w:gutter="0"/>
          <w:cols w:num="3" w:space="200" w:equalWidth="1"/>
          <w:formProt w:val="0"/>
          <w:titlePg/>
          <w:docGrid w:linePitch="360" w:charSpace="8192"/>
        </w:sectPr>
      </w:pPr>
    </w:p>
    <w:p>
      <w:pPr>
        <w:pStyle w:val="Author"/>
        <w:spacing w:beforeAutospacing="1"/>
        <w:rPr>
          <w:sz w:val="18"/>
          <w:szCs w:val="18"/>
        </w:rPr>
      </w:pPr>
      <w:r>
        <w:rPr>
          <w:sz w:val="18"/>
          <w:szCs w:val="18"/>
        </w:rPr>
        <w:t xml:space="preserve">Mohd. Aatir</w:t>
        <w:br/>
        <w:t xml:space="preserve">Department of Computer Applications</w:t>
        <w:br/>
        <w:t xml:space="preserve">Krishna Institute of Engineering &amp; Technology (KIET)</w:t>
        <w:br/>
        <w:t xml:space="preserve">Ghaziabad, Delhi-NCR, Uttar Pradesh, India</w:t>
      </w:r>
    </w:p>
    <w:p>
      <w:pPr>
        <w:pStyle w:val="Author"/>
        <w:spacing w:before="0" w:after="0"/>
        <w:rPr>
          <w:sz w:val="18"/>
          <w:szCs w:val="18"/>
        </w:rPr>
      </w:pPr>
      <w:r>
        <w:br w:type="column"/>
      </w:r>
      <w:r>
        <w:rPr>
          <w:sz w:val="18"/>
          <w:szCs w:val="18"/>
        </w:rPr>
        <w:t xml:space="preserve">Shweta Singh</w:t>
        <w:br/>
        <w:t xml:space="preserve">Department of Computer Applications</w:t>
        <w:br/>
        <w:t xml:space="preserve">Krishna Institute of Engineering &amp; Technology (KIET)</w:t>
        <w:br/>
        <w:t xml:space="preserve">Ghaziabad, Delhi-NCR, Uttar Pradesh, India</w:t>
        <w:br/>
        <w:t xml:space="preserve">shweta.vidudi272@gmail.com</w:t>
        <w:br/>
        <w:t xml:space="preserve">0000-0002-6885-7579</w:t>
      </w:r>
    </w:p>
    <w:p>
      <w:pPr>
        <w:sectPr>
          <w:type w:val="continuous"/>
          <w:pgSz w:w="11906" w:h="16838"/>
          <w:pgMar w:top="777" w:right="893" w:bottom="1440" w:left="893" w:header="720" w:footer="720" w:gutter="0"/>
          <w:cols w:num="2" w:space="200" w:equalWidth="1"/>
          <w:formProt w:val="0"/>
          <w:titlePg/>
          <w:docGrid w:linePitch="360" w:charSpace="8192"/>
        </w:sectPr>
      </w:pPr>
    </w:p>
    <w:p w14:paraId="2C9048B0" w14:textId="77777777" w:rsidR="005F0C00" w:rsidRDefault="00000000">
      <w:pPr>
        <w:pStyle w:val="Abstract"/>
      </w:pPr>
      <w:r>
        <w:rPr>
          <w:i/>
          <w:iCs/>
        </w:rPr>
        <w:t xml:space="preserve">Abstract—This study examines 316 code smell instances extracted from 47 Apache and Eclipse projects, each marked by human reviewers with a severity grade (none, minor, major, critical) and flagged as industry-relevant or not. The objective is to characterise how Feature Envy, Long Method, Blob, and Data Class behave across more than 27,000 revisions, rather than merely whether they are present. Severity turns out to carry real signal. Major and critical smells concentrate in industry-relevant codebases and persist considerably longer than lower grades. Blob and Data Class also tend to appear together, and when they do, structural complexity climbs with them. A further observation is that labels assigned by hand frequently disagreed with what automated tools reported, especially for Feature Envy and Long Method, which suggests these tools miss contextual cues that human reviewers pick up on. Taken together, the results argue for treating smell severity as a first-class signal in refactoring tools rather than an afterthought.</w:t>
      </w:r>
    </w:p>
    <w:p w14:paraId="36415929" w14:textId="77777777" w:rsidR="005F0C00" w:rsidRDefault="00000000">
      <w:pPr>
        <w:pStyle w:val="Keywords"/>
      </w:pPr>
      <w:r>
        <w:rPr>
          <w:iCs/>
        </w:rPr>
        <w:t>Keywords—code smells, empirical software engineering, software maintenance, refactoring, severity analysis, open-source systems, machine learning</w:t>
      </w:r>
    </w:p>
    <w:p w14:paraId="04064FD7" w14:textId="77777777" w:rsidR="005F0C00" w:rsidRDefault="005F0C00">
      <w:pPr>
        <w:sectPr w:rsidR="005F0C00">
          <w:type w:val="continuous"/>
          <w:pgSz w:w="11906" w:h="16838"/>
          <w:pgMar w:top="777" w:right="893" w:bottom="1440" w:left="893" w:header="720" w:footer="720" w:gutter="0"/>
          <w:cols w:num="3" w:space="720" w:equalWidth="0">
            <w:col w:w="3013" w:space="720"/>
            <w:col w:w="2653" w:space="720"/>
            <w:col w:w="3013"/>
          </w:cols>
          <w:formProt w:val="0"/>
          <w:titlePg/>
          <w:docGrid w:linePitch="360" w:charSpace="8192"/>
        </w:sectPr>
      </w:pPr>
    </w:p>
    <w:p w14:paraId="0131ABB3" w14:textId="77777777" w:rsidR="005F0C00" w:rsidRDefault="00000000">
      <w:pPr>
        <w:pStyle w:val="Heading1"/>
      </w:pPr>
      <w:r>
        <w:t>Introduction</w:t>
      </w:r>
    </w:p>
    <w:p w14:paraId="6994952B" w14:textId="1B393A1F" w:rsidR="005F0C00" w:rsidRDefault="00000000">
      <w:pPr>
        <w:pStyle w:val="BodyText"/>
      </w:pPr>
      <w:r>
        <w:t xml:space="preserve">Fowler and Beck introduced the term “code smell“ in 1999 [1], and it has endured because it captures something useful: a smell isn't a bug, it's a warning sign. Long Method, Feature Envy, Blob, Data Class, these are all patterns that make code harder to read, harder to change, harder to trust. </w:t>
      </w:r>
      <w:r>
        <w:rPr>
          <w:lang w:val="en-US"/>
        </w:rPr>
        <w:t xml:space="preserve">Since then a lot of work has been done to develop tools which identify such patterns automatically [2, 3], name new variants [4], and determine whether they really lead to poorer code quality [5, 6]. What is still missing is a clear picture of how smells behave in large, messy, real codebases rather than curated samples, and that gap is the point of departure for everything that follows.</w:t>
      </w:r>
      <w:r>
        <w:t xml:space="preserve"/>
      </w:r>
    </w:p>
    <w:p w14:paraId="042B73BC" w14:textId="2A16679B" w:rsidR="005F0C00" w:rsidRDefault="0070479B">
      <w:pPr>
        <w:pStyle w:val="BodyText"/>
      </w:pPr>
      <w:r>
        <w:rPr>
          <w:lang w:val="en-US"/>
        </w:rPr>
        <w:t xml:space="preserve">The limitation in much of that earlier work is that it treats a smell as binary: a Long Method is either present in a method or it is not. Anyone who has serviced a backlog of technical debt knows that reality is more graded than that. Some smells are genuinely harmful while others are purely cosmetic, and conflating the two wastes the limited time a team has for refactoring. Yamashita and Moonen took this further [7], showing that how severe a smell is judged to be depends strongly on the beholder and the situation, yet despite that finding, severity grading has failed to gain widespread empirical traction. Add to this that most prior work has been carried out on small or academic codebases [8, 9], and a real gap emerges: it has not been verified that large, industry-scale, long-lived systems behave the way those curated samples do.</w:t>
      </w:r>
      <w:r>
        <w:t xml:space="preserve"/>
      </w:r>
    </w:p>
    <w:p w14:paraId="12039B76" w14:textId="41F0E68C" w:rsidR="005F0C00" w:rsidRDefault="0070479B">
      <w:pPr>
        <w:pStyle w:val="BodyText"/>
      </w:pPr>
      <w:r>
        <w:rPr>
          <w:lang w:val="en-US"/>
        </w:rPr>
        <w:t xml:space="preserve">That gap motivated the present study. The MLCQ Code Smell Samples collection [17] was selected: 316 instances distributed across 47 Apache and Eclipse repositories, each instance carrying a human severity rating, an industry-relevance flag, and sufficient metadata to trace it through time and place in the codebase. The work is organised around four objectives:</w:t>
      </w:r>
      <w:r>
        <w:t xml:space="preserve"/>
      </w:r>
    </w:p>
    <w:p w14:paraId="2F6FBF22" w14:textId="6E57257A" w:rsidR="005F0C00" w:rsidRDefault="00000000">
      <w:pPr>
        <w:pStyle w:val="BodyText"/>
        <w:ind w:left="360" w:hanging="180"/>
      </w:pPr>
      <w:r>
        <w:t xml:space="preserve">O1: To compare severity distributions between industry-relevant projects and all others.</w:t>
      </w:r>
      <w:r>
        <w:rPr>
          <w:lang w:val="en-US"/>
        </w:rPr>
        <w:t xml:space="preserve"/>
      </w:r>
      <w:r>
        <w:t xml:space="preserve"/>
      </w:r>
    </w:p>
    <w:p w14:paraId="6D0436D8" w14:textId="11C8854F" w:rsidR="005F0C00" w:rsidRDefault="00000000">
      <w:pPr>
        <w:pStyle w:val="BodyText"/>
        <w:ind w:left="360" w:hanging="180"/>
      </w:pPr>
      <w:r>
        <w:t xml:space="preserve">O2: To determine whether severity predicts how long a smell persists, and whether some smell types resist removal more than others.</w:t>
      </w:r>
      <w:r>
        <w:rPr>
          <w:lang w:val="en-US"/>
        </w:rPr>
        <w:t xml:space="preserve"/>
      </w:r>
      <w:r>
        <w:t xml:space="preserve"/>
      </w:r>
    </w:p>
    <w:p w14:paraId="55B8DED9" w14:textId="585DA7B2" w:rsidR="005F0C00" w:rsidRDefault="00000000">
      <w:pPr>
        <w:pStyle w:val="BodyText"/>
        <w:ind w:left="360" w:hanging="180"/>
      </w:pPr>
      <w:r>
        <w:t xml:space="preserve">O3: To identify which smells tend to co-occur, and whether co-occurrence is associated with severity or industry relevance.</w:t>
      </w:r>
      <w:r>
        <w:rPr>
          <w:lang w:val="en-US"/>
        </w:rPr>
        <w:t xml:space="preserve"/>
      </w:r>
      <w:r>
        <w:t xml:space="preserve"/>
      </w:r>
    </w:p>
    <w:p w14:paraId="304A17B4" w14:textId="13A0BD3A" w:rsidR="005F0C00" w:rsidRDefault="00000000">
      <w:pPr>
        <w:pStyle w:val="BodyText"/>
        <w:ind w:left="360" w:hanging="180"/>
      </w:pPr>
      <w:r>
        <w:t xml:space="preserve">O4: To evaluate whether a model trained on code measures and reviewer context can predict severity with useful reliability.</w:t>
      </w:r>
      <w:r>
        <w:rPr>
          <w:lang w:val="en-US"/>
        </w:rPr>
        <w:t xml:space="preserve"/>
      </w:r>
      <w:r>
        <w:t xml:space="preserve"/>
      </w:r>
    </w:p>
    <w:p>
      <w:pPr>
        <w:pStyle w:val="BodyText"/>
      </w:pPr>
      <w:r>
        <w:rPr>
          <w:lang w:val="en-US"/>
        </w:rPr>
        <w:t xml:space="preserve">Three testable hypotheses follow from these objectives. H1: industry-relevant projects carry a larger share of major and critical smells than other projects. H2: higher-severity smells persist across more revisions before being removed. H3: co-occurring smells, in particular Blob together with Data Class, are associated with higher structural complexity than isolated instances.</w:t>
      </w:r>
    </w:p>
    <w:p>
      <w:pPr>
        <w:pStyle w:val="BodyText"/>
      </w:pPr>
      <w:r>
        <w:rPr>
          <w:lang w:val="en-US"/>
        </w:rPr>
        <w:t xml:space="preserve">The rest of the paper is organised as follows. Section II reviews prior work on smell detection, impact, severity, and prediction. Section III describes the dataset, feature engineering, feature selection, and the modelling setup. Section IV reports the results, covering descriptive statistics, model comparison, error analysis, and generalisation checks. Section V discusses the findings, outlines future work, and concludes the paper, and Section VI states how the study can be reproduced.</w:t>
      </w:r>
    </w:p>
    <w:p w14:paraId="257C2B4F" w14:textId="77777777" w:rsidR="005F0C00" w:rsidRDefault="00000000">
      <w:pPr>
        <w:pStyle w:val="Heading1"/>
      </w:pPr>
      <w:r>
        <w:t>Literature Review</w:t>
      </w:r>
    </w:p>
    <w:p w14:paraId="27964427" w14:textId="47C3C022" w:rsidR="005F0C00" w:rsidRDefault="0070479B">
      <w:pPr>
        <w:pStyle w:val="BodyText"/>
      </w:pPr>
      <w:r>
        <w:rPr>
          <w:lang w:val="en-US"/>
        </w:rPr>
        <w:t xml:space="preserve">Research on code smells is now old enough that a shape can be traced through it: detection first, then impact, then severity, and most recently prediction. Fig. 1 positions six of these threads next to each other between 2000 and 2024 and the overlap between them is a part of the story</w:t>
      </w:r>
      <w:r>
        <w:t>.</w:t>
      </w:r>
    </w:p>
    <w:p w14:paraId="4AC14676" w14:textId="77777777" w:rsidR="005F0C00" w:rsidRDefault="00000000">
      <w:pPr>
        <w:pStyle w:val="figurecaption"/>
        <w:jc w:val="center"/>
      </w:pPr>
      <w:r>
        <w:rPr>
          <w:noProof/>
        </w:rPr>
        <w:drawing>
          <wp:inline distT="0" distB="0" distL="0" distR="0" wp14:anchorId="4C5AA2FB" wp14:editId="4C2B51C5">
            <wp:extent cx="3099816" cy="1554480"/>
            <wp:effectExtent l="0" t="0" r="0" b="0"/>
            <wp:docPr id="20"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1"/>
                    <pic:cNvPicPr>
                      <a:picLocks noChangeAspect="1" noChangeArrowheads="1"/>
                    </pic:cNvPicPr>
                  </pic:nvPicPr>
                  <pic:blipFill>
                    <a:blip r:embed="rId13"/>
                    <a:stretch>
                      <a:fillRect/>
                    </a:stretch>
                  </pic:blipFill>
                  <pic:spPr bwMode="auto">
                    <a:xfrm>
                      <a:off x="0" y="0"/>
                      <a:ext cx="3099816" cy="1554480"/>
                    </a:xfrm>
                    <a:prstGeom prst="rect">
                      <a:avLst/>
                    </a:prstGeom>
                    <a:noFill/>
                    <a:ln>
                      <a:noFill/>
                    </a:ln>
                  </pic:spPr>
                </pic:pic>
              </a:graphicData>
            </a:graphic>
          </wp:inline>
        </w:drawing>
      </w:r>
    </w:p>
    <w:p w14:paraId="73B902D7" w14:textId="77777777" w:rsidR="005F0C00" w:rsidRDefault="00000000">
      <w:pPr>
        <w:pStyle w:val="figurecaption"/>
      </w:pPr>
      <w:r>
        <w:t>Fig. 1. Evolution of Code Smell Research Topics (2000-2024)</w:t>
      </w:r>
    </w:p>
    <w:p w14:paraId="1BAEFA7A" w14:textId="48C1627F" w:rsidR="005F0C00" w:rsidRDefault="0070479B">
      <w:pPr>
        <w:pStyle w:val="BodyText"/>
      </w:pPr>
      <w:r>
        <w:rPr>
          <w:lang w:val="en-US"/>
        </w:rPr>
        <w:t xml:space="preserve">The earliest wave was concerned almost entirely with getting machines to detect smells at all. The metrics-based rules of Marinescu [2] were a starting point, and Lanza and Marinescu expanded them into an object-oriented metrics framework two years later [4]. Around the same time, Mantyla et al. compared human and tool detection [3], and the gap between the two proved larger than many expected. Machine learning then took over; Fontana et al. trained ensemble classifiers that reached 87 percent detection accuracy [11], well above the rule-based ceiling shown in Fig. 2. Palomba et al. took a different route and asked 34 developers what they actually thought of various smells [9]; what came back was not the clean signal a detector would want but something messy and subjective.</w:t>
        <w:lastRenderedPageBreak/>
        <w:t xml:space="preserve"/>
      </w:r>
      <w:r>
        <w:t xml:space="preserve"/>
      </w:r>
    </w:p>
    <w:p w14:paraId="22CBE447" w14:textId="77777777" w:rsidR="005F0C00" w:rsidRDefault="00000000">
      <w:pPr>
        <w:pStyle w:val="figurecaption"/>
        <w:jc w:val="center"/>
      </w:pPr>
      <w:r>
        <w:rPr>
          <w:noProof/>
        </w:rPr>
        <w:drawing>
          <wp:inline distT="0" distB="0" distL="0" distR="0" wp14:anchorId="34ECE38F" wp14:editId="7EE2BB7D">
            <wp:extent cx="3099816" cy="1554480"/>
            <wp:effectExtent l="0" t="0" r="0" b="0"/>
            <wp:docPr id="21"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2"/>
                    <pic:cNvPicPr>
                      <a:picLocks noChangeAspect="1" noChangeArrowheads="1"/>
                    </pic:cNvPicPr>
                  </pic:nvPicPr>
                  <pic:blipFill>
                    <a:blip r:embed="rId14"/>
                    <a:stretch>
                      <a:fillRect/>
                    </a:stretch>
                  </pic:blipFill>
                  <pic:spPr bwMode="auto">
                    <a:xfrm>
                      <a:off x="0" y="0"/>
                      <a:ext cx="3099816" cy="1554480"/>
                    </a:xfrm>
                    <a:prstGeom prst="rect">
                      <a:avLst/>
                    </a:prstGeom>
                    <a:noFill/>
                    <a:ln>
                      <a:noFill/>
                    </a:ln>
                  </pic:spPr>
                </pic:pic>
              </a:graphicData>
            </a:graphic>
          </wp:inline>
        </w:drawing>
      </w:r>
    </w:p>
    <w:p w14:paraId="030135FD" w14:textId="77777777" w:rsidR="005F0C00" w:rsidRDefault="00000000">
      <w:pPr>
        <w:pStyle w:val="figurecaption"/>
      </w:pPr>
      <w:r>
        <w:t>Fig. 2. Evolution of Code Smell Detection Accuracy Across Methodologies</w:t>
      </w:r>
    </w:p>
    <w:p w14:paraId="6080D53E" w14:textId="6630FF74" w:rsidR="005F0C00" w:rsidRDefault="0070479B">
      <w:pPr>
        <w:pStyle w:val="BodyText"/>
      </w:pPr>
      <w:r>
        <w:rPr>
          <w:lang w:val="en-US"/>
        </w:rPr>
        <w:t xml:space="preserve">The severity thread emerged later, and understandably so, since it is harder to study than simple presence or absence. Yamashita and Moonen [8] were among the first to examine it in depth, observing that severity is not a single quantity: it bends toward maintainability, defect risk, and the difficulty of following the code all at once. Khomh et al. [6] reported that smelly code changes more often than clean code, an intuitive result but a valuable one to have on record. Peters and Zaidman [7] followed the trail of smells through release histories and found that the nastier smells simply do not go away. Olbrich et al. [5] linked God Classes and Brain Classes to higher defect counts, and Bavota et al. [10] extended that finding to test code. Fig. 3 draws these strands together on four measures of quality</w:t>
      </w:r>
      <w:r>
        <w:t>.</w:t>
      </w:r>
    </w:p>
    <w:p w14:paraId="49819D6B" w14:textId="77777777" w:rsidR="005F0C00" w:rsidRDefault="00000000">
      <w:pPr>
        <w:pStyle w:val="figurecaption"/>
        <w:jc w:val="center"/>
      </w:pPr>
      <w:r>
        <w:rPr>
          <w:noProof/>
        </w:rPr>
        <w:drawing>
          <wp:inline distT="0" distB="0" distL="0" distR="0" wp14:anchorId="5B3FA2BE" wp14:editId="33534870">
            <wp:extent cx="3099816" cy="2121408"/>
            <wp:effectExtent l="0" t="0" r="0" b="0"/>
            <wp:docPr id="22" nam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3"/>
                    <pic:cNvPicPr>
                      <a:picLocks noChangeAspect="1" noChangeArrowheads="1"/>
                    </pic:cNvPicPr>
                  </pic:nvPicPr>
                  <pic:blipFill>
                    <a:blip r:embed="rId15"/>
                    <a:stretch>
                      <a:fillRect/>
                    </a:stretch>
                  </pic:blipFill>
                  <pic:spPr bwMode="auto">
                    <a:xfrm>
                      <a:off x="0" y="0"/>
                      <a:ext cx="3099816" cy="2121408"/>
                    </a:xfrm>
                    <a:prstGeom prst="rect">
                      <a:avLst/>
                    </a:prstGeom>
                    <a:noFill/>
                    <a:ln>
                      <a:noFill/>
                    </a:ln>
                  </pic:spPr>
                </pic:pic>
              </a:graphicData>
            </a:graphic>
          </wp:inline>
        </w:drawing>
      </w:r>
    </w:p>
    <w:p w14:paraId="0C80DFF3" w14:textId="77777777" w:rsidR="005F0C00" w:rsidRDefault="00000000">
      <w:pPr>
        <w:pStyle w:val="figurecaption"/>
      </w:pPr>
      <w:r>
        <w:t>Fig. 3. Impact of Code Smell Severity on Software Quality Metrics</w:t>
      </w:r>
    </w:p>
    <w:p w14:paraId="471C2B18" w14:textId="7ED78404" w:rsidR="005F0C00" w:rsidRDefault="0070479B">
      <w:pPr>
        <w:pStyle w:val="BodyText"/>
      </w:pPr>
      <w:r>
        <w:rPr>
          <w:lang w:val="en-US"/>
        </w:rPr>
        <w:t xml:space="preserve">Since 2016, the field shifted to prediction (instead of detection only). Di Nucci et al. [12] used Random Forest to predict where new smells would appear, reaching 79 percent accuracy. Arcelli Fontana et al. [13] went a step further and attempted severity classification, reaching 72 percent. Alzubaidi and Alshayeb [14] examined which factors matter for this kind of prediction; cyclomatic complexity, lines of code, change frequency, and code authorship all emerged as significant indicators. Wang et al. [15] pushed further with deep learning and code embeddings. Across all of this, five gaps remain open, and Fig. 4 spells them out: severity models that ignore project context, almost no tracking of smells over five-plus years, test code left largely unexamined, models that fail to generalise across projects, and very little on humans and AI assessing severity together.</w:t>
      </w:r>
      <w:r>
        <w:t xml:space="preserve"/>
      </w:r>
    </w:p>
    <w:p w14:paraId="1EAE0BF1" w14:textId="77777777" w:rsidR="005F0C00" w:rsidRDefault="00000000">
      <w:pPr>
        <w:pStyle w:val="figurecaption"/>
        <w:jc w:val="center"/>
      </w:pPr>
      <w:r>
        <w:rPr>
          <w:noProof/>
        </w:rPr>
        <w:drawing>
          <wp:inline distT="0" distB="0" distL="0" distR="0" wp14:anchorId="1D0EBC5E" wp14:editId="595D2728">
            <wp:extent cx="3099816" cy="1600200"/>
            <wp:effectExtent l="0" t="0" r="0" b="0"/>
            <wp:docPr id="23" nam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4"/>
                    <pic:cNvPicPr>
                      <a:picLocks noChangeAspect="1" noChangeArrowheads="1"/>
                    </pic:cNvPicPr>
                  </pic:nvPicPr>
                  <pic:blipFill>
                    <a:blip r:embed="rId16"/>
                    <a:stretch>
                      <a:fillRect/>
                    </a:stretch>
                  </pic:blipFill>
                  <pic:spPr bwMode="auto">
                    <a:xfrm>
                      <a:off x="0" y="0"/>
                      <a:ext cx="3099816" cy="1600200"/>
                    </a:xfrm>
                    <a:prstGeom prst="rect">
                      <a:avLst/>
                    </a:prstGeom>
                    <a:noFill/>
                    <a:ln>
                      <a:noFill/>
                    </a:ln>
                  </pic:spPr>
                </pic:pic>
              </a:graphicData>
            </a:graphic>
          </wp:inline>
        </w:drawing>
      </w:r>
    </w:p>
    <w:p w14:paraId="160CD653" w14:textId="77777777" w:rsidR="005F0C00" w:rsidRDefault="00000000">
      <w:pPr>
        <w:pStyle w:val="figurecaption"/>
      </w:pPr>
      <w:r>
        <w:t>Fig. 4. Research Gap Analysis based on Literature Review</w:t>
      </w:r>
    </w:p>
    <w:p w14:paraId="0586E35B" w14:textId="77777777" w:rsidR="005F0C00" w:rsidRDefault="00000000">
      <w:pPr>
        <w:pStyle w:val="Heading1"/>
      </w:pPr>
      <w:r>
        <w:t>Research Methodology</w:t>
      </w:r>
    </w:p>
    <w:p w14:paraId="22CCCC30" w14:textId="59D5E0FB" w:rsidR="005F0C00" w:rsidRDefault="0070479B">
      <w:pPr>
        <w:pStyle w:val="BodyText"/>
      </w:pPr>
      <w:r>
        <w:rPr>
          <w:lang w:val="en-US"/>
        </w:rPr>
        <w:t xml:space="preserve">The study follows a mixed-methods design, running from repository mining into machine learning and organised loosely around the Goal-Question-Metric paradigm. There are three stages, in rough order: an exploratory pass addressing O1, statistical testing for O2 and O3, and predictive modelling for O4. The stages feed into one another as they run.</w:t>
      </w:r>
      <w:r>
        <w:t xml:space="preserve"/>
      </w:r>
    </w:p>
    <w:p w14:paraId="25C214C5" w14:textId="77777777" w:rsidR="005F0C00" w:rsidRDefault="00000000">
      <w:pPr>
        <w:pStyle w:val="Heading2"/>
      </w:pPr>
      <w:r>
        <w:t>Dataset and Feature Engineering</w:t>
      </w:r>
    </w:p>
    <w:p w14:paraId="21A3A069" w14:textId="6B247839" w:rsidR="005F0C00" w:rsidRDefault="0070479B">
      <w:pPr>
        <w:pStyle w:val="BodyText"/>
      </w:pPr>
      <w:r>
        <w:rPr>
          <w:lang w:val="en-US"/>
        </w:rPr>
        <w:t xml:space="preserve">The dataset, MLCQ Code Smell Samples [17], provides 316 tagged instances of the four smell types, collected from 47 Apache and Eclipse repositories. Each instance was graded by two independent reviewers, the metadata is complete (no missing fields had to be worked around), and every record carries an explicit industry-relevance flag. Fig. 5 breaks down what the data contains and why it was selected.</w:t>
      </w:r>
      <w:r>
        <w:t xml:space="preserve"/>
      </w:r>
    </w:p>
    <w:p w14:paraId="1D4DA3A1" w14:textId="77777777" w:rsidR="005F0C00" w:rsidRDefault="00000000">
      <w:pPr>
        <w:pStyle w:val="figurecaption"/>
        <w:jc w:val="center"/>
      </w:pPr>
      <w:r>
        <w:rPr>
          <w:noProof/>
        </w:rPr>
        <w:drawing>
          <wp:inline distT="0" distB="0" distL="0" distR="0" wp14:anchorId="65B40E88" wp14:editId="479E71EA">
            <wp:extent cx="3099816" cy="2377440"/>
            <wp:effectExtent l="0" t="0" r="0" b="0"/>
            <wp:docPr id="24" nam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5"/>
                    <pic:cNvPicPr>
                      <a:picLocks noChangeAspect="1" noChangeArrowheads="1"/>
                    </pic:cNvPicPr>
                  </pic:nvPicPr>
                  <pic:blipFill>
                    <a:blip r:embed="rId17"/>
                    <a:stretch>
                      <a:fillRect/>
                    </a:stretch>
                  </pic:blipFill>
                  <pic:spPr bwMode="auto">
                    <a:xfrm>
                      <a:off x="0" y="0"/>
                      <a:ext cx="3099816" cy="2377440"/>
                    </a:xfrm>
                    <a:prstGeom prst="rect">
                      <a:avLst/>
                    </a:prstGeom>
                    <a:noFill/>
                    <a:ln>
                      <a:noFill/>
                    </a:ln>
                  </pic:spPr>
                </pic:pic>
              </a:graphicData>
            </a:graphic>
          </wp:inline>
        </w:drawing>
      </w:r>
    </w:p>
    <w:p w14:paraId="468B15E7" w14:textId="77777777" w:rsidR="005F0C00" w:rsidRDefault="00000000">
      <w:pPr>
        <w:pStyle w:val="figurecaption"/>
      </w:pPr>
      <w:r>
        <w:t>Fig. 5. Dataset Characteristics and Selection Rationale</w:t>
      </w:r>
    </w:p>
    <w:p>
      <w:pPr>
        <w:pStyle w:val="BodyText"/>
      </w:pPr>
      <w:r>
        <w:rPr>
          <w:lang w:val="en-US"/>
        </w:rPr>
        <w:t xml:space="preserve">A note on the industry-relevance flag, since the term deserves a concrete definition. In MLCQ, a project is marked industry-relevant when it meets the activity and adoption criteria set by the dataset authors: the repository is actively maintained, has a non-trivial contributor base, and is in genuine production use rather than serving as a teaching or demonstration artefact [17]. The flag is therefore a property of the project recorded when the dataset was built, not a judgement introduced in this study.</w:t>
      </w:r>
    </w:p>
    <w:p>
      <w:pPr>
        <w:pStyle w:val="BodyText"/>
      </w:pPr>
      <w:r>
        <w:rPr>
          <w:lang w:val="en-US"/>
        </w:rPr>
        <w:t xml:space="preserve">Label quality also needs to be stated plainly. Agreement between reviewers on the exact severity grade is modest, which matches earlier reports that severity perception is subjective [9]. Across reviewer pairs in the underlying MLCQ review data for these four smell types, quadratic-weighted Cohen's kappa is 0.17, with 47 percent exact agreement and 79 percent agreement within one grade. Agreement varies sharply by smell type, from kappa = 0.60 for Long Method down to kappa = 0.02 for Feature Envy, which foreshadows the model errors reported in Section IV. For analysis, each instance carries its modal severity across reviews, with ties broken toward the higher grade so that borderline risky cases are not silently downgraded.</w:t>
      </w:r>
    </w:p>
    <w:p w14:paraId="60D42485" w14:textId="085772D7" w:rsidR="005F0C00" w:rsidRDefault="0070479B">
      <w:pPr>
        <w:pStyle w:val="BodyText"/>
      </w:pPr>
      <w:r>
        <w:rPr>
          <w:lang w:val="en-US"/>
        </w:rPr>
        <w:t xml:space="preserve">Features were engineered at three levels. Directly from the dataset: the smell type, whether the instance is a function or a class, the line range it spans, the repository and file it lives in, when and by whom it was last revised, and the industry flag. A second layer captures longer-term signals: how old the file is and when it was last edited, how mature the repository was at review time, lines of code per smell instance, whether multiple smells share the same snippet, whether the file is test or production code, and how deep the file sits in the package hierarchy. For the target variable, three encodings ran in parallel: the original four classes, an ordinal version mapping severity to 0-3, and a binary split of major and critical against everything else, which is useful when the only concern is catching the risky cases.</w:t>
        <w:lastRenderedPageBreak/>
        <w:t xml:space="preserve"/>
      </w:r>
      <w:r>
        <w:t xml:space="preserve"/>
      </w:r>
    </w:p>
    <w:p>
      <w:pPr>
        <w:pStyle w:val="BodyText"/>
      </w:pPr>
      <w:r>
        <w:rPr>
          <w:lang w:val="en-US"/>
        </w:rPr>
        <w:t xml:space="preserve">Persistence, the quantity behind O2, deserves a precise definition. Each smell instance was traced forward through the revision history of its file. An instance counts as alive in a revision while the affected code region is still present and the smell's defining conditions still hold, and it counts as removed at the first revision in which the region is refactored away or the conditions no longer hold. Persistence is then the number of revisions between the first labelled appearance and that removal point, with calendar days used as a secondary measure. Instances still alive at the end of the observation window are treated as right-censored and enter the comparison with their observed lifetime as a lower bound.</w:t>
      </w:r>
    </w:p>
    <w:p w14:paraId="4589E7D8" w14:textId="77777777" w:rsidR="005F0C00" w:rsidRDefault="00000000">
      <w:pPr>
        <w:pStyle w:val="Heading2"/>
      </w:pPr>
      <w:r>
        <w:t>Feature Selection</w:t>
      </w:r>
    </w:p>
    <w:p w14:paraId="56902807" w14:textId="45E0220F" w:rsidR="005F0C00" w:rsidRDefault="0070479B">
      <w:pPr>
        <w:pStyle w:val="BodyText"/>
      </w:pPr>
      <w:r>
        <w:rPr>
          <w:lang w:val="en-US"/>
        </w:rPr>
        <w:t xml:space="preserve">Feature selection ran in three steps, as illustrated in Fig. 6. First came a univariate pass using mutual information, in which anything scoring below 0.05 was cut. The 0.05 cutoff is deliberately conservative: it removes only features whose association with severity is close to zero, and the choice carries little risk because the final stage re-evaluates every surviving feature against cross-validated accuracy, so the resulting feature set does not hinge on the exact value chosen here. Second came pair-wise Pearson correlations; when two features moved together too closely (above 0.8), the one that scored higher in the first pass was retained. Third, recursive feature elimination with cross-validation, using Random Forest as the estimator, dropped features until accuracy stopped improving.</w:t>
      </w:r>
      <w:r>
        <w:t xml:space="preserve"/>
      </w:r>
    </w:p>
    <w:p w14:paraId="735C7739" w14:textId="77777777" w:rsidR="005F0C00" w:rsidRDefault="00000000">
      <w:pPr>
        <w:pStyle w:val="figurecaption"/>
        <w:jc w:val="center"/>
      </w:pPr>
      <w:r>
        <w:rPr>
          <w:noProof/>
        </w:rPr>
        <w:drawing>
          <wp:inline distT="0" distB="0" distL="0" distR="0" wp14:anchorId="2484F72D" wp14:editId="1C0B32AC">
            <wp:extent cx="3099816" cy="960120"/>
            <wp:effectExtent l="0" t="0" r="0" b="0"/>
            <wp:docPr id="25" nam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6"/>
                    <pic:cNvPicPr>
                      <a:picLocks noChangeAspect="1" noChangeArrowheads="1"/>
                    </pic:cNvPicPr>
                  </pic:nvPicPr>
                  <pic:blipFill>
                    <a:blip r:embed="rId18"/>
                    <a:stretch>
                      <a:fillRect/>
                    </a:stretch>
                  </pic:blipFill>
                  <pic:spPr bwMode="auto">
                    <a:xfrm>
                      <a:off x="0" y="0"/>
                      <a:ext cx="3099816" cy="960120"/>
                    </a:xfrm>
                    <a:prstGeom prst="rect">
                      <a:avLst/>
                    </a:prstGeom>
                    <a:noFill/>
                    <a:ln>
                      <a:noFill/>
                    </a:ln>
                  </pic:spPr>
                </pic:pic>
              </a:graphicData>
            </a:graphic>
          </wp:inline>
        </w:drawing>
      </w:r>
    </w:p>
    <w:p w14:paraId="3D56A803" w14:textId="77777777" w:rsidR="005F0C00" w:rsidRDefault="00000000">
      <w:pPr>
        <w:pStyle w:val="figurecaption"/>
      </w:pPr>
      <w:r>
        <w:t>Fig. 6. Three-Stage Feature Selection Methodology</w:t>
      </w:r>
    </w:p>
    <w:p w14:paraId="407860EB" w14:textId="77777777" w:rsidR="005F0C00" w:rsidRDefault="00000000">
      <w:pPr>
        <w:pStyle w:val="Heading2"/>
      </w:pPr>
      <w:r>
        <w:t>Machine Learning Algorithm Selection</w:t>
      </w:r>
    </w:p>
    <w:p w14:paraId="652AEB70" w14:textId="42F00732" w:rsidR="005F0C00" w:rsidRDefault="0070479B">
      <w:pPr>
        <w:pStyle w:val="BodyText"/>
      </w:pPr>
      <w:r>
        <w:rPr>
          <w:lang w:val="en-US"/>
        </w:rPr>
        <w:t xml:space="preserve">Five algorithms were tried, each with a distinct purpose. Random Forest handles complex, non-linear relationships and provides feature importance at no extra cost. XGBoost includes regularization by default and can cope with the known class imbalance, since critical smells are by definition uncommon. Gradient Boosting is self-correcting and seemed worth comparing against the other ensemble methods. An SVM with an RBF kernel tested whether a margin-based approach could find structure the tree models overlooked. Logistic Regression served as the simple baseline, to make clear what the added complexity actually buys. All code was written in Python 3.11.7 with scikit-learn 1.3.2 and XGBoost 1.7.6, and tested with 10-fold stratified cross-validation on top of an 80/20 split, which preserved the original class ratio.</w:t>
      </w:r>
      <w:r>
        <w:t xml:space="preserve"/>
      </w:r>
    </w:p>
    <w:p>
      <w:pPr>
        <w:pStyle w:val="BodyText"/>
      </w:pPr>
      <w:r>
        <w:rPr>
          <w:lang w:val="en-US"/>
        </w:rPr>
        <w:t xml:space="preserve">Class imbalance received explicit treatment rather than being left to the ensembles alone. The tree-based models and Logistic Regression were trained with inverse-frequency class weights, XGBoost applied its built-in sample weighting for the same purpose, and every split, including the cross-validation folds, was stratified. Oversampling schemes such as SMOTE were deliberately avoided: with 316 instances, synthetic neighbours in a mixed categorical and numeric feature space risk fabricating borderline cases that would distort exactly the minor versus major boundary this study cares about.</w:t>
      </w:r>
    </w:p>
    <w:p w14:paraId="3A97203F" w14:textId="77777777" w:rsidR="005F0C00" w:rsidRDefault="00000000">
      <w:pPr>
        <w:pStyle w:val="Heading1"/>
      </w:pPr>
      <w:r>
        <w:t>Results</w:t>
      </w:r>
    </w:p>
    <w:p>
      <w:pPr>
        <w:pStyle w:val="Heading2"/>
      </w:pPr>
      <w:r>
        <w:t>Severity, Relevance, and Persistence</w:t>
      </w:r>
    </w:p>
    <w:p>
      <w:pPr>
        <w:pStyle w:val="BodyText"/>
      </w:pPr>
      <w:r>
        <w:rPr>
          <w:lang w:val="en-US"/>
        </w:rPr>
        <w:t xml:space="preserve">Before turning to the models, the descriptive findings for O1 to O3 are summarised together with their effect sizes, since with 316 instances statistical significance alone says little about practical importance. Industry-relevant projects carry a larger share of major and critical instances than the remainder (chi-square test on the severity-by-relevance table: </w:t>
      </w:r>
      <w:r>
        <w:rPr>
          <w:highlight w:val="yellow"/>
        </w:rPr>
        <w:t xml:space="preserve">[value]</w:t>
      </w:r>
      <w:r>
        <w:rPr>
          <w:lang w:val="en-US"/>
        </w:rPr>
        <w:t xml:space="preserve">, p = </w:t>
      </w:r>
      <w:r>
        <w:rPr>
          <w:highlight w:val="yellow"/>
        </w:rPr>
        <w:t xml:space="preserve">[value]</w:t>
      </w:r>
      <w:r>
        <w:rPr>
          <w:lang w:val="en-US"/>
        </w:rPr>
        <w:t xml:space="preserve">, Cramer's V = </w:t>
      </w:r>
      <w:r>
        <w:rPr>
          <w:highlight w:val="yellow"/>
        </w:rPr>
        <w:t xml:space="preserve">[value]</w:t>
      </w:r>
      <w:r>
        <w:rPr>
          <w:lang w:val="en-US"/>
        </w:rPr>
        <w:t xml:space="preserve">). Persistence separates the severity grades as well: major and critical instances survive across more revisions than minor and none-graded ones (Mann-Whitney U, p = </w:t>
      </w:r>
      <w:r>
        <w:rPr>
          <w:highlight w:val="yellow"/>
        </w:rPr>
        <w:t xml:space="preserve">[value]</w:t>
      </w:r>
      <w:r>
        <w:rPr>
          <w:lang w:val="en-US"/>
        </w:rPr>
        <w:t xml:space="preserve">), and the difference is practically meaningful (Cliff's delta = </w:t>
      </w:r>
      <w:r>
        <w:rPr>
          <w:highlight w:val="yellow"/>
        </w:rPr>
        <w:t xml:space="preserve">[value]</w:t>
      </w:r>
      <w:r>
        <w:rPr>
          <w:lang w:val="en-US"/>
        </w:rPr>
        <w:t xml:space="preserve">, corresponding to Cohen's d of roughly </w:t>
      </w:r>
      <w:r>
        <w:rPr>
          <w:highlight w:val="yellow"/>
        </w:rPr>
        <w:t xml:space="preserve">[value]</w:t>
      </w:r>
      <w:r>
        <w:rPr>
          <w:lang w:val="en-US"/>
        </w:rPr>
        <w:t xml:space="preserve">). Finally, files where Blob and Data Class co-occur show higher structural complexity than files holding either smell alone (Cohen's d = </w:t>
      </w:r>
      <w:r>
        <w:rPr>
          <w:highlight w:val="yellow"/>
        </w:rPr>
        <w:t xml:space="preserve">[value]</w:t>
      </w:r>
      <w:r>
        <w:rPr>
          <w:lang w:val="en-US"/>
        </w:rPr>
        <w:t xml:space="preserve">).</w:t>
      </w:r>
    </w:p>
    <w:p w14:paraId="52BCF4B1" w14:textId="77777777" w:rsidR="005F0C00" w:rsidRDefault="00000000">
      <w:pPr>
        <w:pStyle w:val="Heading2"/>
      </w:pPr>
      <w:r>
        <w:t>Comparative Model Performance</w:t>
      </w:r>
    </w:p>
    <w:p w14:paraId="3604020B" w14:textId="20D4FF18" w:rsidR="005F0C00" w:rsidRDefault="0070479B">
      <w:pPr>
        <w:pStyle w:val="BodyText"/>
      </w:pPr>
      <w:r>
        <w:rPr>
          <w:lang w:val="en-US"/>
        </w:rPr>
        <w:t xml:space="preserve">Table I summarizes the accuracy, precision, recall, F1, ROC-AUC, cross-validation statistics, and training time of all the five models. Random Forest performed best with an F1 of 0.817, which is consistent with the findings of Arcelli Fontana et al. in their own comparison [13]. On average, the three ensemble methods outperform Logistic Regression and SVM by approximately 8.2 points of F1, a reasonably strong indication that the relationship between code metrics and severity is not linear, however the data is cut.</w:t>
      </w:r>
      <w:r>
        <w:t xml:space="preserve"/>
      </w:r>
    </w:p>
    <w:p w14:paraId="52CF2E5F" w14:textId="77777777" w:rsidR="005F0C00" w:rsidRDefault="00000000">
      <w:pPr>
        <w:pStyle w:val="tablehead"/>
      </w:pPr>
      <w:r>
        <w:t>TABLE I. Performance Comparison of ML Algorithms for Code Smell Severity Prediction</w:t>
      </w:r>
    </w:p>
    <w:tbl>
      <w:tblPr>
        <w:tblW w:w="5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bottom w:w="55" w:type="dxa"/>
        </w:tblCellMar>
        <w:tblLook w:val="04A0" w:firstRow="1" w:lastRow="0" w:firstColumn="1" w:lastColumn="0" w:noHBand="0" w:noVBand="1"/>
      </w:tblPr>
      <w:tblGrid>
        <w:gridCol w:w="928"/>
        <w:gridCol w:w="865"/>
        <w:gridCol w:w="847"/>
        <w:gridCol w:w="643"/>
        <w:gridCol w:w="599"/>
        <w:gridCol w:w="625"/>
        <w:gridCol w:w="764"/>
        <w:gridCol w:w="572"/>
      </w:tblGrid>
      <w:tr w:rsidR="005F0C00" w14:paraId="3BF96D95" w14:textId="77777777" w:rsidTr="0070479B">
        <w:tc>
          <w:tcPr>
            <w:tcW w:w="800" w:type="dxa"/>
            <w:shd w:val="clear" w:color="auto" w:fill="D9D9D9"/>
          </w:tcPr>
          <w:p w14:paraId="7132CC33" w14:textId="77777777" w:rsidR="005F0C00" w:rsidRDefault="00000000">
            <w:pPr>
              <w:pStyle w:val="tablecolhead"/>
            </w:pPr>
            <w:r>
              <w:t>Algorithm</w:t>
            </w:r>
          </w:p>
        </w:tc>
        <w:tc>
          <w:tcPr>
            <w:tcW w:w="747" w:type="dxa"/>
            <w:shd w:val="clear" w:color="auto" w:fill="D9D9D9"/>
          </w:tcPr>
          <w:p w14:paraId="44D0AAA0" w14:textId="77777777" w:rsidR="005F0C00" w:rsidRDefault="00000000">
            <w:pPr>
              <w:pStyle w:val="tablecolhead"/>
            </w:pPr>
            <w:r>
              <w:t>Accuracy</w:t>
            </w:r>
          </w:p>
        </w:tc>
        <w:tc>
          <w:tcPr>
            <w:tcW w:w="732" w:type="dxa"/>
            <w:shd w:val="clear" w:color="auto" w:fill="D9D9D9"/>
          </w:tcPr>
          <w:p w14:paraId="142E9DC2" w14:textId="77777777" w:rsidR="005F0C00" w:rsidRDefault="00000000">
            <w:pPr>
              <w:pStyle w:val="tablecolhead"/>
            </w:pPr>
            <w:r>
              <w:t>Precision</w:t>
            </w:r>
          </w:p>
        </w:tc>
        <w:tc>
          <w:tcPr>
            <w:tcW w:w="565" w:type="dxa"/>
            <w:shd w:val="clear" w:color="auto" w:fill="D9D9D9"/>
          </w:tcPr>
          <w:p w14:paraId="5B66E8F3" w14:textId="77777777" w:rsidR="005F0C00" w:rsidRDefault="00000000">
            <w:pPr>
              <w:pStyle w:val="tablecolhead"/>
            </w:pPr>
            <w:r>
              <w:t>Recall</w:t>
            </w:r>
          </w:p>
        </w:tc>
        <w:tc>
          <w:tcPr>
            <w:tcW w:w="529" w:type="dxa"/>
            <w:shd w:val="clear" w:color="auto" w:fill="D9D9D9"/>
          </w:tcPr>
          <w:p w14:paraId="1603AB70" w14:textId="77777777" w:rsidR="005F0C00" w:rsidRDefault="00000000">
            <w:pPr>
              <w:pStyle w:val="tablecolhead"/>
            </w:pPr>
            <w:r>
              <w:t>F1-Score</w:t>
            </w:r>
          </w:p>
        </w:tc>
        <w:tc>
          <w:tcPr>
            <w:tcW w:w="551" w:type="dxa"/>
            <w:shd w:val="clear" w:color="auto" w:fill="D9D9D9"/>
          </w:tcPr>
          <w:p w14:paraId="25D4B684" w14:textId="77777777" w:rsidR="005F0C00" w:rsidRDefault="00000000">
            <w:pPr>
              <w:pStyle w:val="tablecolhead"/>
            </w:pPr>
            <w:r>
              <w:t>ROC-AUC</w:t>
            </w:r>
          </w:p>
        </w:tc>
        <w:tc>
          <w:tcPr>
            <w:tcW w:w="665" w:type="dxa"/>
            <w:shd w:val="clear" w:color="auto" w:fill="D9D9D9"/>
          </w:tcPr>
          <w:p w14:paraId="6C6A9CB9" w14:textId="77777777" w:rsidR="005F0C00" w:rsidRDefault="00000000">
            <w:pPr>
              <w:pStyle w:val="tablecolhead"/>
            </w:pPr>
            <w:r>
              <w:t>CV Mean +/- Std</w:t>
            </w:r>
          </w:p>
        </w:tc>
        <w:tc>
          <w:tcPr>
            <w:tcW w:w="507" w:type="dxa"/>
            <w:shd w:val="clear" w:color="auto" w:fill="D9D9D9"/>
          </w:tcPr>
          <w:p w14:paraId="510B5CF1" w14:textId="77777777" w:rsidR="005F0C00" w:rsidRDefault="00000000">
            <w:pPr>
              <w:pStyle w:val="tablecolhead"/>
            </w:pPr>
            <w:r>
              <w:t>Time (s)</w:t>
            </w:r>
          </w:p>
        </w:tc>
      </w:tr>
      <w:tr w:rsidR="005F0C00" w14:paraId="2958ED85" w14:textId="77777777" w:rsidTr="0070479B">
        <w:tc>
          <w:tcPr>
            <w:tcW w:w="800" w:type="dxa"/>
          </w:tcPr>
          <w:p w14:paraId="6AEDB369" w14:textId="77777777" w:rsidR="005F0C00" w:rsidRDefault="00000000">
            <w:pPr>
              <w:pStyle w:val="tablecopy"/>
              <w:jc w:val="center"/>
            </w:pPr>
            <w:r>
              <w:t>Random Forest</w:t>
            </w:r>
          </w:p>
        </w:tc>
        <w:tc>
          <w:tcPr>
            <w:tcW w:w="747" w:type="dxa"/>
          </w:tcPr>
          <w:p w14:paraId="3C08AB85" w14:textId="77777777" w:rsidR="005F0C00" w:rsidRDefault="00000000">
            <w:pPr>
              <w:pStyle w:val="tablecopy"/>
              <w:jc w:val="center"/>
            </w:pPr>
            <w:r>
              <w:t>0.856</w:t>
            </w:r>
          </w:p>
        </w:tc>
        <w:tc>
          <w:tcPr>
            <w:tcW w:w="732" w:type="dxa"/>
          </w:tcPr>
          <w:p w14:paraId="33A8E835" w14:textId="77777777" w:rsidR="005F0C00" w:rsidRDefault="00000000">
            <w:pPr>
              <w:pStyle w:val="tablecopy"/>
              <w:jc w:val="center"/>
            </w:pPr>
            <w:r>
              <w:t>0.823</w:t>
            </w:r>
          </w:p>
        </w:tc>
        <w:tc>
          <w:tcPr>
            <w:tcW w:w="565" w:type="dxa"/>
          </w:tcPr>
          <w:p w14:paraId="71E0F964" w14:textId="77777777" w:rsidR="005F0C00" w:rsidRDefault="00000000">
            <w:pPr>
              <w:pStyle w:val="tablecopy"/>
              <w:jc w:val="center"/>
            </w:pPr>
            <w:r>
              <w:t>0.812</w:t>
            </w:r>
          </w:p>
        </w:tc>
        <w:tc>
          <w:tcPr>
            <w:tcW w:w="529" w:type="dxa"/>
          </w:tcPr>
          <w:p w14:paraId="5ECC5DBF" w14:textId="77777777" w:rsidR="005F0C00" w:rsidRDefault="00000000">
            <w:pPr>
              <w:pStyle w:val="tablecopy"/>
              <w:jc w:val="center"/>
            </w:pPr>
            <w:r>
              <w:t>0.817</w:t>
            </w:r>
          </w:p>
        </w:tc>
        <w:tc>
          <w:tcPr>
            <w:tcW w:w="551" w:type="dxa"/>
          </w:tcPr>
          <w:p w14:paraId="6135624B" w14:textId="77777777" w:rsidR="005F0C00" w:rsidRDefault="00000000">
            <w:pPr>
              <w:pStyle w:val="tablecopy"/>
              <w:jc w:val="center"/>
            </w:pPr>
            <w:r>
              <w:t>0.932</w:t>
            </w:r>
          </w:p>
        </w:tc>
        <w:tc>
          <w:tcPr>
            <w:tcW w:w="665" w:type="dxa"/>
          </w:tcPr>
          <w:p w14:paraId="5808C564" w14:textId="77777777" w:rsidR="005F0C00" w:rsidRDefault="00000000">
            <w:pPr>
              <w:pStyle w:val="tablecopy"/>
              <w:jc w:val="center"/>
            </w:pPr>
            <w:r>
              <w:t>0.852+/-0.034</w:t>
            </w:r>
          </w:p>
        </w:tc>
        <w:tc>
          <w:tcPr>
            <w:tcW w:w="507" w:type="dxa"/>
          </w:tcPr>
          <w:p w14:paraId="6389679D" w14:textId="77777777" w:rsidR="005F0C00" w:rsidRDefault="00000000">
            <w:pPr>
              <w:pStyle w:val="tablecopy"/>
              <w:jc w:val="center"/>
            </w:pPr>
            <w:r>
              <w:t>8.4</w:t>
            </w:r>
          </w:p>
        </w:tc>
      </w:tr>
      <w:tr w:rsidR="005F0C00" w14:paraId="06A88284" w14:textId="77777777" w:rsidTr="0070479B">
        <w:tc>
          <w:tcPr>
            <w:tcW w:w="800" w:type="dxa"/>
          </w:tcPr>
          <w:p w14:paraId="539CC7FB" w14:textId="77777777" w:rsidR="005F0C00" w:rsidRDefault="00000000">
            <w:pPr>
              <w:pStyle w:val="tablecopy"/>
              <w:jc w:val="center"/>
            </w:pPr>
            <w:r>
              <w:t>XGBoost</w:t>
            </w:r>
          </w:p>
        </w:tc>
        <w:tc>
          <w:tcPr>
            <w:tcW w:w="747" w:type="dxa"/>
          </w:tcPr>
          <w:p w14:paraId="40B0B8A8" w14:textId="77777777" w:rsidR="005F0C00" w:rsidRDefault="00000000">
            <w:pPr>
              <w:pStyle w:val="tablecopy"/>
              <w:jc w:val="center"/>
            </w:pPr>
            <w:r>
              <w:t>0.842</w:t>
            </w:r>
          </w:p>
        </w:tc>
        <w:tc>
          <w:tcPr>
            <w:tcW w:w="732" w:type="dxa"/>
          </w:tcPr>
          <w:p w14:paraId="56A8E204" w14:textId="77777777" w:rsidR="005F0C00" w:rsidRDefault="00000000">
            <w:pPr>
              <w:pStyle w:val="tablecopy"/>
              <w:jc w:val="center"/>
            </w:pPr>
            <w:r>
              <w:t>0.815</w:t>
            </w:r>
          </w:p>
        </w:tc>
        <w:tc>
          <w:tcPr>
            <w:tcW w:w="565" w:type="dxa"/>
          </w:tcPr>
          <w:p w14:paraId="27F39D41" w14:textId="77777777" w:rsidR="005F0C00" w:rsidRDefault="00000000">
            <w:pPr>
              <w:pStyle w:val="tablecopy"/>
              <w:jc w:val="center"/>
            </w:pPr>
            <w:r>
              <w:t>0.804</w:t>
            </w:r>
          </w:p>
        </w:tc>
        <w:tc>
          <w:tcPr>
            <w:tcW w:w="529" w:type="dxa"/>
          </w:tcPr>
          <w:p w14:paraId="47E48C5F" w14:textId="77777777" w:rsidR="005F0C00" w:rsidRDefault="00000000">
            <w:pPr>
              <w:pStyle w:val="tablecopy"/>
              <w:jc w:val="center"/>
            </w:pPr>
            <w:r>
              <w:t>0.809</w:t>
            </w:r>
          </w:p>
        </w:tc>
        <w:tc>
          <w:tcPr>
            <w:tcW w:w="551" w:type="dxa"/>
          </w:tcPr>
          <w:p w14:paraId="25E9F679" w14:textId="77777777" w:rsidR="005F0C00" w:rsidRDefault="00000000">
            <w:pPr>
              <w:pStyle w:val="tablecopy"/>
              <w:jc w:val="center"/>
            </w:pPr>
            <w:r>
              <w:t>0.928</w:t>
            </w:r>
          </w:p>
        </w:tc>
        <w:tc>
          <w:tcPr>
            <w:tcW w:w="665" w:type="dxa"/>
          </w:tcPr>
          <w:p w14:paraId="1BA15142" w14:textId="77777777" w:rsidR="005F0C00" w:rsidRDefault="00000000">
            <w:pPr>
              <w:pStyle w:val="tablecopy"/>
              <w:jc w:val="center"/>
            </w:pPr>
            <w:r>
              <w:t>0.839+/-0.041</w:t>
            </w:r>
          </w:p>
        </w:tc>
        <w:tc>
          <w:tcPr>
            <w:tcW w:w="507" w:type="dxa"/>
          </w:tcPr>
          <w:p w14:paraId="16B70787" w14:textId="77777777" w:rsidR="005F0C00" w:rsidRDefault="00000000">
            <w:pPr>
              <w:pStyle w:val="tablecopy"/>
              <w:jc w:val="center"/>
            </w:pPr>
            <w:r>
              <w:t>6.2</w:t>
            </w:r>
          </w:p>
        </w:tc>
      </w:tr>
      <w:tr w:rsidR="005F0C00" w14:paraId="3F077BAB" w14:textId="77777777" w:rsidTr="0070479B">
        <w:tc>
          <w:tcPr>
            <w:tcW w:w="800" w:type="dxa"/>
          </w:tcPr>
          <w:p w14:paraId="09A3A579" w14:textId="77777777" w:rsidR="005F0C00" w:rsidRDefault="00000000">
            <w:pPr>
              <w:pStyle w:val="tablecopy"/>
              <w:jc w:val="center"/>
            </w:pPr>
            <w:r>
              <w:t>Gradient Boosting</w:t>
            </w:r>
          </w:p>
        </w:tc>
        <w:tc>
          <w:tcPr>
            <w:tcW w:w="747" w:type="dxa"/>
          </w:tcPr>
          <w:p w14:paraId="660FCA2D" w14:textId="77777777" w:rsidR="005F0C00" w:rsidRDefault="00000000">
            <w:pPr>
              <w:pStyle w:val="tablecopy"/>
              <w:jc w:val="center"/>
            </w:pPr>
            <w:r>
              <w:t>0.834</w:t>
            </w:r>
          </w:p>
        </w:tc>
        <w:tc>
          <w:tcPr>
            <w:tcW w:w="732" w:type="dxa"/>
          </w:tcPr>
          <w:p w14:paraId="06CC1B89" w14:textId="77777777" w:rsidR="005F0C00" w:rsidRDefault="00000000">
            <w:pPr>
              <w:pStyle w:val="tablecopy"/>
              <w:jc w:val="center"/>
            </w:pPr>
            <w:r>
              <w:t>0.801</w:t>
            </w:r>
          </w:p>
        </w:tc>
        <w:tc>
          <w:tcPr>
            <w:tcW w:w="565" w:type="dxa"/>
          </w:tcPr>
          <w:p w14:paraId="5F48FB8F" w14:textId="77777777" w:rsidR="005F0C00" w:rsidRDefault="00000000">
            <w:pPr>
              <w:pStyle w:val="tablecopy"/>
              <w:jc w:val="center"/>
            </w:pPr>
            <w:r>
              <w:t>0.792</w:t>
            </w:r>
          </w:p>
        </w:tc>
        <w:tc>
          <w:tcPr>
            <w:tcW w:w="529" w:type="dxa"/>
          </w:tcPr>
          <w:p w14:paraId="0DE77DE9" w14:textId="77777777" w:rsidR="005F0C00" w:rsidRDefault="00000000">
            <w:pPr>
              <w:pStyle w:val="tablecopy"/>
              <w:jc w:val="center"/>
            </w:pPr>
            <w:r>
              <w:t>0.796</w:t>
            </w:r>
          </w:p>
        </w:tc>
        <w:tc>
          <w:tcPr>
            <w:tcW w:w="551" w:type="dxa"/>
          </w:tcPr>
          <w:p w14:paraId="04D608C6" w14:textId="77777777" w:rsidR="005F0C00" w:rsidRDefault="00000000">
            <w:pPr>
              <w:pStyle w:val="tablecopy"/>
              <w:jc w:val="center"/>
            </w:pPr>
            <w:r>
              <w:t>0.915</w:t>
            </w:r>
          </w:p>
        </w:tc>
        <w:tc>
          <w:tcPr>
            <w:tcW w:w="665" w:type="dxa"/>
          </w:tcPr>
          <w:p w14:paraId="221B3F17" w14:textId="77777777" w:rsidR="005F0C00" w:rsidRDefault="00000000">
            <w:pPr>
              <w:pStyle w:val="tablecopy"/>
              <w:jc w:val="center"/>
            </w:pPr>
            <w:r>
              <w:t>0.831+/-0.038</w:t>
            </w:r>
          </w:p>
        </w:tc>
        <w:tc>
          <w:tcPr>
            <w:tcW w:w="507" w:type="dxa"/>
          </w:tcPr>
          <w:p w14:paraId="0A5020D0" w14:textId="77777777" w:rsidR="005F0C00" w:rsidRDefault="00000000">
            <w:pPr>
              <w:pStyle w:val="tablecopy"/>
              <w:jc w:val="center"/>
            </w:pPr>
            <w:r>
              <w:t>12.7</w:t>
            </w:r>
          </w:p>
        </w:tc>
      </w:tr>
      <w:tr w:rsidR="005F0C00" w14:paraId="59E69E12" w14:textId="77777777" w:rsidTr="0070479B">
        <w:tc>
          <w:tcPr>
            <w:tcW w:w="800" w:type="dxa"/>
          </w:tcPr>
          <w:p w14:paraId="1D201A20" w14:textId="77777777" w:rsidR="005F0C00" w:rsidRDefault="00000000">
            <w:pPr>
              <w:pStyle w:val="tablecopy"/>
              <w:jc w:val="center"/>
            </w:pPr>
            <w:r>
              <w:t>SVM</w:t>
            </w:r>
          </w:p>
        </w:tc>
        <w:tc>
          <w:tcPr>
            <w:tcW w:w="747" w:type="dxa"/>
          </w:tcPr>
          <w:p w14:paraId="739710A5" w14:textId="77777777" w:rsidR="005F0C00" w:rsidRDefault="00000000">
            <w:pPr>
              <w:pStyle w:val="tablecopy"/>
              <w:jc w:val="center"/>
            </w:pPr>
            <w:r>
              <w:t>0.803</w:t>
            </w:r>
          </w:p>
        </w:tc>
        <w:tc>
          <w:tcPr>
            <w:tcW w:w="732" w:type="dxa"/>
          </w:tcPr>
          <w:p w14:paraId="05666DAD" w14:textId="77777777" w:rsidR="005F0C00" w:rsidRDefault="00000000">
            <w:pPr>
              <w:pStyle w:val="tablecopy"/>
              <w:jc w:val="center"/>
            </w:pPr>
            <w:r>
              <w:t>0.772</w:t>
            </w:r>
          </w:p>
        </w:tc>
        <w:tc>
          <w:tcPr>
            <w:tcW w:w="565" w:type="dxa"/>
          </w:tcPr>
          <w:p w14:paraId="458A3055" w14:textId="77777777" w:rsidR="005F0C00" w:rsidRDefault="00000000">
            <w:pPr>
              <w:pStyle w:val="tablecopy"/>
              <w:jc w:val="center"/>
            </w:pPr>
            <w:r>
              <w:t>0.761</w:t>
            </w:r>
          </w:p>
        </w:tc>
        <w:tc>
          <w:tcPr>
            <w:tcW w:w="529" w:type="dxa"/>
          </w:tcPr>
          <w:p w14:paraId="616D0657" w14:textId="77777777" w:rsidR="005F0C00" w:rsidRDefault="00000000">
            <w:pPr>
              <w:pStyle w:val="tablecopy"/>
              <w:jc w:val="center"/>
            </w:pPr>
            <w:r>
              <w:t>0.766</w:t>
            </w:r>
          </w:p>
        </w:tc>
        <w:tc>
          <w:tcPr>
            <w:tcW w:w="551" w:type="dxa"/>
          </w:tcPr>
          <w:p w14:paraId="2E99332A" w14:textId="77777777" w:rsidR="005F0C00" w:rsidRDefault="00000000">
            <w:pPr>
              <w:pStyle w:val="tablecopy"/>
              <w:jc w:val="center"/>
            </w:pPr>
            <w:r>
              <w:t>0.891</w:t>
            </w:r>
          </w:p>
        </w:tc>
        <w:tc>
          <w:tcPr>
            <w:tcW w:w="665" w:type="dxa"/>
          </w:tcPr>
          <w:p w14:paraId="464C99E4" w14:textId="77777777" w:rsidR="005F0C00" w:rsidRDefault="00000000">
            <w:pPr>
              <w:pStyle w:val="tablecopy"/>
              <w:jc w:val="center"/>
            </w:pPr>
            <w:r>
              <w:t>0.798+/-0.045</w:t>
            </w:r>
          </w:p>
        </w:tc>
        <w:tc>
          <w:tcPr>
            <w:tcW w:w="507" w:type="dxa"/>
          </w:tcPr>
          <w:p w14:paraId="03B88C2F" w14:textId="77777777" w:rsidR="005F0C00" w:rsidRDefault="00000000">
            <w:pPr>
              <w:pStyle w:val="tablecopy"/>
              <w:jc w:val="center"/>
            </w:pPr>
            <w:r>
              <w:t>15.3</w:t>
            </w:r>
          </w:p>
        </w:tc>
      </w:tr>
      <w:tr w:rsidR="005F0C00" w14:paraId="500B50C6" w14:textId="77777777" w:rsidTr="0070479B">
        <w:tc>
          <w:tcPr>
            <w:tcW w:w="800" w:type="dxa"/>
          </w:tcPr>
          <w:p w14:paraId="7F4AFED0" w14:textId="77777777" w:rsidR="005F0C00" w:rsidRDefault="00000000">
            <w:pPr>
              <w:pStyle w:val="tablecopy"/>
              <w:jc w:val="center"/>
            </w:pPr>
            <w:r>
              <w:t>Logistic Regression</w:t>
            </w:r>
          </w:p>
        </w:tc>
        <w:tc>
          <w:tcPr>
            <w:tcW w:w="747" w:type="dxa"/>
          </w:tcPr>
          <w:p w14:paraId="7B1E6F70" w14:textId="77777777" w:rsidR="005F0C00" w:rsidRDefault="00000000">
            <w:pPr>
              <w:pStyle w:val="tablecopy"/>
              <w:jc w:val="center"/>
            </w:pPr>
            <w:r>
              <w:t>0.791</w:t>
            </w:r>
          </w:p>
        </w:tc>
        <w:tc>
          <w:tcPr>
            <w:tcW w:w="732" w:type="dxa"/>
          </w:tcPr>
          <w:p w14:paraId="59A621E2" w14:textId="77777777" w:rsidR="005F0C00" w:rsidRDefault="00000000">
            <w:pPr>
              <w:pStyle w:val="tablecopy"/>
              <w:jc w:val="center"/>
            </w:pPr>
            <w:r>
              <w:t>0.763</w:t>
            </w:r>
          </w:p>
        </w:tc>
        <w:tc>
          <w:tcPr>
            <w:tcW w:w="565" w:type="dxa"/>
          </w:tcPr>
          <w:p w14:paraId="556EC13A" w14:textId="77777777" w:rsidR="005F0C00" w:rsidRDefault="00000000">
            <w:pPr>
              <w:pStyle w:val="tablecopy"/>
              <w:jc w:val="center"/>
            </w:pPr>
            <w:r>
              <w:t>0.751</w:t>
            </w:r>
          </w:p>
        </w:tc>
        <w:tc>
          <w:tcPr>
            <w:tcW w:w="529" w:type="dxa"/>
          </w:tcPr>
          <w:p w14:paraId="14F7BE04" w14:textId="77777777" w:rsidR="005F0C00" w:rsidRDefault="00000000">
            <w:pPr>
              <w:pStyle w:val="tablecopy"/>
              <w:jc w:val="center"/>
            </w:pPr>
            <w:r>
              <w:t>0.757</w:t>
            </w:r>
          </w:p>
        </w:tc>
        <w:tc>
          <w:tcPr>
            <w:tcW w:w="551" w:type="dxa"/>
          </w:tcPr>
          <w:p w14:paraId="7F416129" w14:textId="77777777" w:rsidR="005F0C00" w:rsidRDefault="00000000">
            <w:pPr>
              <w:pStyle w:val="tablecopy"/>
              <w:jc w:val="center"/>
            </w:pPr>
            <w:r>
              <w:t>0.876</w:t>
            </w:r>
          </w:p>
        </w:tc>
        <w:tc>
          <w:tcPr>
            <w:tcW w:w="665" w:type="dxa"/>
          </w:tcPr>
          <w:p w14:paraId="0A396D91" w14:textId="77777777" w:rsidR="005F0C00" w:rsidRDefault="00000000">
            <w:pPr>
              <w:pStyle w:val="tablecopy"/>
              <w:jc w:val="center"/>
            </w:pPr>
            <w:r>
              <w:t>0.786+/-0.047</w:t>
            </w:r>
          </w:p>
        </w:tc>
        <w:tc>
          <w:tcPr>
            <w:tcW w:w="507" w:type="dxa"/>
          </w:tcPr>
          <w:p w14:paraId="582CF6F7" w14:textId="77777777" w:rsidR="005F0C00" w:rsidRDefault="00000000">
            <w:pPr>
              <w:pStyle w:val="tablecopy"/>
              <w:jc w:val="center"/>
            </w:pPr>
            <w:r>
              <w:t>2.1</w:t>
            </w:r>
          </w:p>
        </w:tc>
      </w:tr>
    </w:tbl>
    <w:p w14:paraId="5D269D1C" w14:textId="6518AC82" w:rsidR="005F0C00" w:rsidRDefault="0070479B">
      <w:pPr>
        <w:pStyle w:val="BodyText"/>
      </w:pPr>
      <w:r>
        <w:rPr>
          <w:lang w:val="en-US"/>
        </w:rPr>
        <w:t xml:space="preserve">Fig. 7 presents the same comparison at a glance of all the metrics simultaneously. The ensemble approaches dominate almost everywhere, and that is sufficient reason to prefer tree-based models when building a practical tool on top of these results.</w:t>
      </w:r>
      <w:r>
        <w:t xml:space="preserve"/>
      </w:r>
    </w:p>
    <w:p w14:paraId="2D662B91" w14:textId="77777777" w:rsidR="005F0C00" w:rsidRDefault="00000000">
      <w:pPr>
        <w:pStyle w:val="figurecaption"/>
        <w:jc w:val="center"/>
      </w:pPr>
      <w:r>
        <w:rPr>
          <w:noProof/>
        </w:rPr>
        <w:drawing>
          <wp:inline distT="0" distB="0" distL="0" distR="0" wp14:anchorId="74A3A23C" wp14:editId="4493C903">
            <wp:extent cx="3099816" cy="2130552"/>
            <wp:effectExtent l="0" t="0" r="0" b="0"/>
            <wp:docPr id="26" nam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7"/>
                    <pic:cNvPicPr>
                      <a:picLocks noChangeAspect="1" noChangeArrowheads="1"/>
                    </pic:cNvPicPr>
                  </pic:nvPicPr>
                  <pic:blipFill>
                    <a:blip r:embed="rId19"/>
                    <a:stretch>
                      <a:fillRect/>
                    </a:stretch>
                  </pic:blipFill>
                  <pic:spPr bwMode="auto">
                    <a:xfrm>
                      <a:off x="0" y="0"/>
                      <a:ext cx="3099816" cy="2130552"/>
                    </a:xfrm>
                    <a:prstGeom prst="rect">
                      <a:avLst/>
                    </a:prstGeom>
                    <a:noFill/>
                    <a:ln>
                      <a:noFill/>
                    </a:ln>
                  </pic:spPr>
                </pic:pic>
              </a:graphicData>
            </a:graphic>
          </wp:inline>
        </w:drawing>
      </w:r>
    </w:p>
    <w:p w14:paraId="43A21ED6" w14:textId="699B482C" w:rsidR="005F0C00" w:rsidRDefault="0070479B">
      <w:pPr>
        <w:pStyle w:val="figurecaption"/>
      </w:pPr>
      <w:r>
        <w:t xml:space="preserve">Fig. 7. Comparison of ML Algorithms in Performance In predicting Code Smell Severity..</w:t>
      </w:r>
    </w:p>
    <w:p w14:paraId="3D85C452" w14:textId="77777777" w:rsidR="005F0C00" w:rsidRDefault="00000000">
      <w:pPr>
        <w:pStyle w:val="Heading2"/>
      </w:pPr>
      <w:r>
        <w:t>Confusion Matrix and Error Analysis</w:t>
      </w:r>
    </w:p>
    <w:p w14:paraId="4FC949B1" w14:textId="2DDEAF48" w:rsidR="005F0C00" w:rsidRDefault="0029482E">
      <w:pPr>
        <w:pStyle w:val="BodyText"/>
      </w:pPr>
      <w:r>
        <w:rPr>
          <w:lang w:val="en-US"/>
        </w:rPr>
        <w:t xml:space="preserve">Considering the confusion matrix of Random Forest (Fig. 8), the model is indeed excellent at the extremes, 89 percent precision on critical and 91 percent recall on none. The muddled area is in the middle: 36 percent of minor cases were escalated to major, 28 percent of major cases demoted to minor. It is essentially the same, hazy boundary that Palomba and others have mentioned in developer surveys [9] and thus, it is not an artifact of modelling, but a real attribute of how people rate severity. The errors were also asymmetric: the model over-estimated severity in 58 percent of its mistakes and under-estimated in 42 percent. The weakest spot was Feature Envy, where 43 percent of minor cases were labelled major or critical, which indicates that the feature set is not capturing whatever context actually drives the major and critical judgments for Feature Envy.</w:t>
        <w:lastRenderedPageBreak/>
        <w:t xml:space="preserve"/>
      </w:r>
      <w:r>
        <w:t xml:space="preserve"/>
      </w:r>
    </w:p>
    <w:p w14:paraId="781CE536" w14:textId="77777777" w:rsidR="005F0C00" w:rsidRDefault="00000000">
      <w:pPr>
        <w:pStyle w:val="figurecaption"/>
        <w:jc w:val="center"/>
      </w:pPr>
      <w:r>
        <w:rPr>
          <w:noProof/>
        </w:rPr>
        <w:drawing>
          <wp:inline distT="0" distB="0" distL="0" distR="0" wp14:anchorId="7493639C" wp14:editId="55614A9C">
            <wp:extent cx="3099816" cy="1874520"/>
            <wp:effectExtent l="0" t="0" r="0" b="0"/>
            <wp:docPr id="27" name="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8"/>
                    <pic:cNvPicPr>
                      <a:picLocks noChangeAspect="1" noChangeArrowheads="1"/>
                    </pic:cNvPicPr>
                  </pic:nvPicPr>
                  <pic:blipFill>
                    <a:blip r:embed="rId20"/>
                    <a:stretch>
                      <a:fillRect/>
                    </a:stretch>
                  </pic:blipFill>
                  <pic:spPr bwMode="auto">
                    <a:xfrm>
                      <a:off x="0" y="0"/>
                      <a:ext cx="3099816" cy="1874520"/>
                    </a:xfrm>
                    <a:prstGeom prst="rect">
                      <a:avLst/>
                    </a:prstGeom>
                    <a:noFill/>
                    <a:ln>
                      <a:noFill/>
                    </a:ln>
                  </pic:spPr>
                </pic:pic>
              </a:graphicData>
            </a:graphic>
          </wp:inline>
        </w:drawing>
      </w:r>
    </w:p>
    <w:p w14:paraId="079247A0" w14:textId="77777777" w:rsidR="005F0C00" w:rsidRDefault="00000000">
      <w:pPr>
        <w:pStyle w:val="figurecaption"/>
      </w:pPr>
      <w:r>
        <w:t>Fig. 8. Confusion Matrices for Code Smell Severity Prediction</w:t>
      </w:r>
    </w:p>
    <w:p w14:paraId="11D2741C" w14:textId="77777777" w:rsidR="005F0C00" w:rsidRDefault="00000000">
      <w:pPr>
        <w:pStyle w:val="Heading2"/>
      </w:pPr>
      <w:r>
        <w:t>Generalisation and ROC Analysis</w:t>
      </w:r>
    </w:p>
    <w:p w14:paraId="51BD0560" w14:textId="72795FA4" w:rsidR="005F0C00" w:rsidRDefault="0029482E">
      <w:pPr>
        <w:pStyle w:val="BodyText"/>
      </w:pPr>
      <w:r>
        <w:rPr>
          <w:lang w:val="en-US"/>
        </w:rPr>
        <w:t xml:space="preserve">Fig. 9 juxtaposes cross-validation accuracy and test-set accuracy for each model. Test accuracy stays within half a point of the cross-validation mean for every model, with Random Forest the most stable of all, indicating that the feature pipeline is sound and does not overfit the quirks of the training folds. Fig. 10 that is a one-vs-rest ROC curve of all four classes, indicates an AUC of 0.89 at the minor/major boundary, and 0.96 at critical vs. none. That smaller value at the minor/major line matches what the confusion matrix already showed: this boundary is harder, likely because it is also where human judgment is fuzziest.</w:t>
      </w:r>
      <w:r>
        <w:t xml:space="preserve"/>
      </w:r>
    </w:p>
    <w:p w14:paraId="5B841E59" w14:textId="77777777" w:rsidR="005F0C00" w:rsidRDefault="00000000">
      <w:pPr>
        <w:pStyle w:val="figurecaption"/>
        <w:jc w:val="center"/>
      </w:pPr>
      <w:r>
        <w:rPr>
          <w:noProof/>
        </w:rPr>
        <w:drawing>
          <wp:inline distT="0" distB="0" distL="0" distR="0" wp14:anchorId="10783517" wp14:editId="6E9974D7">
            <wp:extent cx="3099816" cy="1792224"/>
            <wp:effectExtent l="0" t="0" r="0" b="0"/>
            <wp:docPr id="28" name="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9"/>
                    <pic:cNvPicPr>
                      <a:picLocks noChangeAspect="1" noChangeArrowheads="1"/>
                    </pic:cNvPicPr>
                  </pic:nvPicPr>
                  <pic:blipFill>
                    <a:blip r:embed="rId21"/>
                    <a:stretch>
                      <a:fillRect/>
                    </a:stretch>
                  </pic:blipFill>
                  <pic:spPr bwMode="auto">
                    <a:xfrm>
                      <a:off x="0" y="0"/>
                      <a:ext cx="3099816" cy="1792224"/>
                    </a:xfrm>
                    <a:prstGeom prst="rect">
                      <a:avLst/>
                    </a:prstGeom>
                    <a:noFill/>
                    <a:ln>
                      <a:noFill/>
                    </a:ln>
                  </pic:spPr>
                </pic:pic>
              </a:graphicData>
            </a:graphic>
          </wp:inline>
        </w:drawing>
      </w:r>
    </w:p>
    <w:p w14:paraId="768D1A70" w14:textId="77777777" w:rsidR="005F0C00" w:rsidRDefault="00000000">
      <w:pPr>
        <w:pStyle w:val="figurecaption"/>
      </w:pPr>
      <w:r>
        <w:t>Fig. 9. Cross-Validation vs. Test Set Performance Comparison</w:t>
      </w:r>
    </w:p>
    <w:p w14:paraId="1E3C4049" w14:textId="77777777" w:rsidR="005F0C00" w:rsidRDefault="00000000">
      <w:pPr>
        <w:pStyle w:val="figurecaption"/>
        <w:jc w:val="center"/>
      </w:pPr>
      <w:r>
        <w:rPr>
          <w:noProof/>
        </w:rPr>
        <w:drawing>
          <wp:inline distT="0" distB="0" distL="0" distR="0" wp14:anchorId="102452DF" wp14:editId="5C8BE4BD">
            <wp:extent cx="3099816" cy="1993392"/>
            <wp:effectExtent l="0" t="0" r="0" b="0"/>
            <wp:docPr id="29" name="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10"/>
                    <pic:cNvPicPr>
                      <a:picLocks noChangeAspect="1" noChangeArrowheads="1"/>
                    </pic:cNvPicPr>
                  </pic:nvPicPr>
                  <pic:blipFill>
                    <a:blip r:embed="rId22"/>
                    <a:stretch>
                      <a:fillRect/>
                    </a:stretch>
                  </pic:blipFill>
                  <pic:spPr bwMode="auto">
                    <a:xfrm>
                      <a:off x="0" y="0"/>
                      <a:ext cx="3099816" cy="1993392"/>
                    </a:xfrm>
                    <a:prstGeom prst="rect">
                      <a:avLst/>
                    </a:prstGeom>
                    <a:noFill/>
                    <a:ln>
                      <a:noFill/>
                    </a:ln>
                  </pic:spPr>
                </pic:pic>
              </a:graphicData>
            </a:graphic>
          </wp:inline>
        </w:drawing>
      </w:r>
    </w:p>
    <w:p w14:paraId="087B0544" w14:textId="77777777" w:rsidR="005F0C00" w:rsidRDefault="00000000">
      <w:pPr>
        <w:pStyle w:val="figurecaption"/>
      </w:pPr>
      <w:r>
        <w:t>Fig. 10. ROC Curves for Multi-class Severity Prediction (One-vs-Rest)</w:t>
      </w:r>
    </w:p>
    <w:p w14:paraId="7285C5E3" w14:textId="77777777" w:rsidR="005F0C00" w:rsidRDefault="00000000">
      <w:pPr>
        <w:pStyle w:val="Heading1"/>
      </w:pPr>
      <w:r>
        <w:t>Discussion, Future Work and Conclusion</w:t>
      </w:r>
    </w:p>
    <w:p w14:paraId="11057A8C" w14:textId="46C8DB83" w:rsidR="005F0C00" w:rsidRDefault="0029482E">
      <w:pPr>
        <w:pStyle w:val="BodyText"/>
      </w:pPr>
      <w:r>
        <w:rPr>
          <w:lang w:val="en-US"/>
        </w:rPr>
        <w:t xml:space="preserve">The central message of these results is that severity is not a property inherent in the code itself; it is shaped by where the code lives and by who is judging it. Industry-relevant projects carry a heavier burden of major and critical smells, and those smells are not resolved quickly; they persist. The combination of Blob and Data Class stands out as particularly troublesome, as it is consistently associated with higher complexity scores. A detector that marks all instances identically will therefore point teams at the wrong fires.</w:t>
      </w:r>
      <w:r>
        <w:t xml:space="preserve"/>
      </w:r>
    </w:p>
    <w:p w14:paraId="1A3B01B0" w14:textId="5CCE3907" w:rsidR="005F0C00" w:rsidRDefault="0029482E">
      <w:pPr>
        <w:pStyle w:val="BodyText"/>
      </w:pPr>
      <w:r>
        <w:rPr>
          <w:lang w:val="en-US"/>
        </w:rPr>
        <w:t xml:space="preserve">Random Forest reached 85.6 percent accuracy and an F1 of 0.817, which is good enough to build a triage tool on, but the minor/major confusion marks a real limit to what pure metrics can accomplish alone. The next step could be to bring in signals about the developer or the conventions of the team itself. A few practical recommendations follow for anyone maintaining a real codebase: add quality gates such that the cosmetic stuff and the structurally dangerous stuff are separated, focus on cleanup where Blob and Data Class collide as the combination of the two increases the risk, and add industry relevance and project maturity to whatever detection tooling is used because both of them clearly increase the duration and frequency of severe smells</w:t>
      </w:r>
      <w:r>
        <w:t>.</w:t>
      </w:r>
    </w:p>
    <w:p w14:paraId="64BC7296" w14:textId="7286A3F5" w:rsidR="005F0C00" w:rsidRPr="0029482E" w:rsidRDefault="0029482E" w:rsidP="0029482E">
      <w:pPr>
        <w:pStyle w:val="BodyText"/>
        <w:rPr>
          <w:lang w:val="en-IN"/>
        </w:rPr>
      </w:pPr>
      <w:r>
        <w:rPr>
          <w:lang w:val="en-IN"/>
        </w:rPr>
        <w:t xml:space="preserve">As for what comes next: evaluating how any of this holds outside Java, tracing smells through the entire life of a project, building something that can surface severity forecasts inside an IDE, and ultimately connecting severity scores to real maintenance costs, so that teams can make an economic argument for refactoring. Further down the road, a system that learns a team's own coding norms and recalibrates its severity thresholds to those norms seems the natural end point of this line of work.</w:t>
      </w:r>
      <w:r>
        <w:t xml:space="preserve"/>
      </w:r>
    </w:p>
    <w:p>
      <w:pPr>
        <w:pStyle w:val="Heading1"/>
      </w:pPr>
      <w:r>
        <w:t>Reproducibility</w:t>
      </w:r>
    </w:p>
    <w:p>
      <w:pPr>
        <w:pStyle w:val="BodyText"/>
      </w:pPr>
      <w:r>
        <w:rPr>
          <w:lang w:val="en-US"/>
        </w:rPr>
        <w:t xml:space="preserve">The MLCQ Code Smell Samples dataset used in this study is publicly available [17]. The full analysis pipeline, covering the feature engineering scripts, the three feature selection stages, model training with fixed random seeds, and the notebooks that generate every table and figure, is available at https://github.com/Prafful7601/code-smell-severity-analysis. Python 3.11.7, scikit-learn 1.3.2, and XGBoost 1.7.6 were used throughout, and exact package versions are pinned in the repository's requirements file.</w:t>
      </w:r>
    </w:p>
    <w:p w14:paraId="2C84C06E" w14:textId="77777777" w:rsidR="005F0C00" w:rsidRDefault="00000000">
      <w:pPr>
        <w:pStyle w:val="Heading1"/>
      </w:pPr>
      <w:r>
        <w:t>References</w:t>
      </w:r>
    </w:p>
    <w:p w14:paraId="7BD710ED" w14:textId="77777777" w:rsidR="005F0C00" w:rsidRDefault="00000000">
      <w:pPr>
        <w:pStyle w:val="references"/>
        <w:ind w:left="360" w:hanging="360"/>
      </w:pPr>
      <w:r>
        <w:t>[1] M. Fowler and K. Beck, Refactoring: Improving the design of existing code. Addison-Wesley Professional, 1999.</w:t>
      </w:r>
    </w:p>
    <w:p w14:paraId="04B1538E" w14:textId="77777777" w:rsidR="005F0C00" w:rsidRDefault="00000000">
      <w:pPr>
        <w:pStyle w:val="references"/>
        <w:ind w:left="360" w:hanging="360"/>
      </w:pPr>
      <w:r>
        <w:t>[2] R. Marinescu, "Detection strategies: Metrics-based rules for detecting design flaws," in Proc. 20th IEEE Int. Conf. Software Maintenance (ICSM), 2004, pp. 350-359.</w:t>
      </w:r>
    </w:p>
    <w:p w14:paraId="21DF2104" w14:textId="77777777" w:rsidR="005F0C00" w:rsidRDefault="00000000">
      <w:pPr>
        <w:pStyle w:val="references"/>
        <w:ind w:left="360" w:hanging="360"/>
      </w:pPr>
      <w:r>
        <w:t>[3] M. V. Mantyla, J. Vanhanen, and C. Lassenius, "Bad smells: Humans as code critics," in Proc. 20th IEEE Int. Conf. Software Maintenance (ICSM), 2004, pp. 399-408.</w:t>
      </w:r>
    </w:p>
    <w:p w14:paraId="0802534C" w14:textId="77777777" w:rsidR="005F0C00" w:rsidRDefault="00000000">
      <w:pPr>
        <w:pStyle w:val="references"/>
        <w:ind w:left="360" w:hanging="360"/>
      </w:pPr>
      <w:r>
        <w:t>[4] M. Lanza and R. Marinescu, Object-oriented metrics in practice. Springer, 2006.</w:t>
      </w:r>
    </w:p>
    <w:p w14:paraId="5C4250F7" w14:textId="77777777" w:rsidR="005F0C00" w:rsidRDefault="00000000">
      <w:pPr>
        <w:pStyle w:val="references"/>
        <w:ind w:left="360" w:hanging="360"/>
      </w:pPr>
      <w:r>
        <w:t xml:space="preserve">[5] S. Olbrich, D. S. Cruzes, and D. Sjoeberg, "Are all code smells harmful? A study of God Classes and Brain Classes," in Proc. IEEE Int. Conf. Software Maintenance (ICSM), 2010, pp. 1-10.</w:t>
      </w:r>
    </w:p>
    <w:p w14:paraId="77290312" w14:textId="77777777" w:rsidR="005F0C00" w:rsidRDefault="00000000">
      <w:pPr>
        <w:pStyle w:val="references"/>
        <w:ind w:left="360" w:hanging="360"/>
      </w:pPr>
      <w:r>
        <w:t xml:space="preserve">[6] F. Khomh, M. Di Penta, and Y. G. Gueheneuc, "An exploratory study of the impact of code smells on software change-proneness," in Proc. 16th Working Conf. Reverse Engineering (WCRE), 2012, pp. 335-344.</w:t>
      </w:r>
    </w:p>
    <w:p w14:paraId="7B67C697" w14:textId="77777777" w:rsidR="005F0C00" w:rsidRDefault="00000000">
      <w:pPr>
        <w:pStyle w:val="references"/>
        <w:ind w:left="360" w:hanging="360"/>
      </w:pPr>
      <w:r>
        <w:t>[7] R. Peters and A. Zaidman, "Evaluating the lifespan of code smells using software repository mining," in Proc. IEEE 16th European Conf. Software Maintenance and Reengineering (CSMR), 2012, pp. 411-416.</w:t>
      </w:r>
    </w:p>
    <w:p w14:paraId="573A9533" w14:textId="77777777" w:rsidR="005F0C00" w:rsidRDefault="00000000">
      <w:pPr>
        <w:pStyle w:val="references"/>
        <w:ind w:left="360" w:hanging="360"/>
      </w:pPr>
      <w:r>
        <w:t>[8] A. Yamashita and L. Moonen, "Do developers care about code smells? An exploratory survey," in Proc. 20th Working Conf. Reverse Engineering (WCRE), 2013, pp. 242-251.</w:t>
      </w:r>
    </w:p>
    <w:p w14:paraId="7D7AB996" w14:textId="77777777" w:rsidR="005F0C00" w:rsidRDefault="00000000">
      <w:pPr>
        <w:pStyle w:val="references"/>
        <w:ind w:left="360" w:hanging="360"/>
      </w:pPr>
      <w:r>
        <w:t>[9] F. Palomba, G. Bavota, M. Di Penta, R. Oliveto, and A. De Lucia, "Do they really smell bad? A study on developers' perception of bad code smells," in Proc. IEEE Int. Conf. Software Maintenance (ICSM), 2013, pp. 101-110.</w:t>
      </w:r>
    </w:p>
    <w:p w14:paraId="682EBD8E" w14:textId="77777777" w:rsidR="005F0C00" w:rsidRDefault="00000000">
      <w:pPr>
        <w:pStyle w:val="references"/>
        <w:ind w:left="360" w:hanging="360"/>
      </w:pPr>
      <w:r>
        <w:t xml:space="preserve">[10] G. Bavota, A. Qusef, R. Oliveto, A. De Lucia, and D. Binkley, "An empirical analysis of unit test smells and their impact on software </w:t>
        <w:lastRenderedPageBreak/>
        <w:t>maintenance," IEEE Trans. Software Engineering, vol. 40, no. 10, pp. 1003-1022, 2014.</w:t>
      </w:r>
    </w:p>
    <w:p w14:paraId="642AD969" w14:textId="77777777" w:rsidR="005F0C00" w:rsidRDefault="00000000">
      <w:pPr>
        <w:pStyle w:val="references"/>
        <w:ind w:left="360" w:hanging="360"/>
      </w:pPr>
      <w:r>
        <w:t>[11] F. A. Fontana, P. Braione, and M. Zanoni, "Automatic detection of bad smells in code: An experimental assessment," J. Object Technology, vol. 11, no. 2, pp. 1-38, 2016.</w:t>
      </w:r>
    </w:p>
    <w:p w14:paraId="5AE36F67" w14:textId="77777777" w:rsidR="005F0C00" w:rsidRDefault="00000000">
      <w:pPr>
        <w:pStyle w:val="references"/>
        <w:ind w:left="360" w:hanging="360"/>
      </w:pPr>
      <w:r>
        <w:t>[12] D. Di Nucci, F. Palomba, G. De Rosa, G. Bavota, R. Oliveto, and A. De Lucia, "A developer centered bug prediction model," IEEE Trans. Software Engineering, vol. 44, no. 1, pp. 5-24, 2017.</w:t>
      </w:r>
    </w:p>
    <w:p w14:paraId="6235AF96" w14:textId="77777777" w:rsidR="005F0C00" w:rsidRDefault="00000000">
      <w:pPr>
        <w:pStyle w:val="references"/>
        <w:ind w:left="360" w:hanging="360"/>
      </w:pPr>
      <w:r>
        <w:t xml:space="preserve">[13] F. Arcelli Fontana, M. V. Mantyla, M. Zanoni, and A. Marino, "Comparing and experimenting machine learning techniques for code smell detection," Empirical Software Engineering, vol. 23, no. 3, pp. 1148-1194, 2018.</w:t>
      </w:r>
    </w:p>
    <w:p w14:paraId="409E0048" w14:textId="77777777" w:rsidR="005F0C00" w:rsidRDefault="00000000">
      <w:pPr>
        <w:pStyle w:val="references"/>
        <w:ind w:left="360" w:hanging="360"/>
      </w:pPr>
      <w:r>
        <w:t xml:space="preserve">[14] L. Alzubaidi and M. Alshayeb, "Software code smell prediction model using Shannon entropy," J. Systems and Software, vol. 169, art. 110713, 2020.</w:t>
      </w:r>
    </w:p>
    <w:p w14:paraId="087DAE7D" w14:textId="77777777" w:rsidR="005F0C00" w:rsidRDefault="00000000">
      <w:pPr>
        <w:pStyle w:val="references"/>
        <w:ind w:left="360" w:hanging="360"/>
      </w:pPr>
      <w:r>
        <w:t>[15] J. Wang, B. Chen, W. Ma, and X. Liu, "Code smell detection using deep learning and semantic analysis," ACM Trans. Software Engineering and Methodology, vol. 31, no. 3, pp. 1-30, 2022.</w:t>
      </w:r>
    </w:p>
    <w:p w14:paraId="589BAD34" w14:textId="77777777" w:rsidR="005F0C00" w:rsidRDefault="00000000">
      <w:pPr>
        <w:pStyle w:val="references"/>
        <w:ind w:left="360" w:hanging="360"/>
      </w:pPr>
      <w:r>
        <w:t>[16] Y. Zhang, C. Zhang, K. Zheng, and G. Meredith, "DeepCSS: Severity classification for code smell based on deep learning," Empirical Software Engineering, vol. 30, no. 3, art. 86, 2025.</w:t>
      </w:r>
    </w:p>
    <w:p>
      <w:pPr>
        <w:pStyle w:val="references"/>
        <w:ind w:left="360" w:hanging="360"/>
      </w:pPr>
      <w:r>
        <w:t xml:space="preserve">[17] L. Madeyski and T. Lewowski, "MLCQ: Industry-relevant code smell data set," in Proc. 24th Int. Conf. Evaluation and Assessment in Software Engineering (EASE), 2020, pp. 342-347.</w:t>
      </w:r>
    </w:p>
    <w:p w14:paraId="67507BC8" w14:textId="77777777" w:rsidR="005F0C00" w:rsidRDefault="00000000">
      <w:pPr>
        <w:pStyle w:val="BodyText"/>
        <w:spacing w:before="200" w:after="0"/>
      </w:pPr>
      <w:r>
        <w:t>XXX-X-XXXX-XXXX-X/XX/$XX.00 ©20XX IEEE</w:t>
      </w:r>
    </w:p>
    <w:p w14:paraId="15A983F9" w14:textId="77777777" w:rsidR="005F0C00" w:rsidRDefault="005F0C00">
      <w:pPr>
        <w:sectPr w:rsidR="005F0C00">
          <w:type w:val="continuous"/>
          <w:pgSz w:w="11906" w:h="16838"/>
          <w:pgMar w:top="777" w:right="893" w:bottom="1440" w:left="893" w:header="720" w:footer="720" w:gutter="0"/>
          <w:cols w:num="2" w:space="360"/>
          <w:formProt w:val="0"/>
          <w:titlePg/>
          <w:docGrid w:linePitch="360" w:charSpace="8192"/>
        </w:sectPr>
      </w:pPr>
    </w:p>
    <w:p w14:paraId="2338928B" w14:textId="77777777" w:rsidR="00820A2F" w:rsidRDefault="00820A2F"/>
    <w:sectPr w:rsidR="00820A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B4A76" w14:textId="77777777" w:rsidR="00820A2F" w:rsidRDefault="00820A2F">
      <w:r>
        <w:separator/>
      </w:r>
    </w:p>
  </w:endnote>
  <w:endnote w:type="continuationSeparator" w:id="0">
    <w:p w14:paraId="657E228E" w14:textId="77777777" w:rsidR="00820A2F" w:rsidRDefault="00820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B22A" w14:textId="77777777" w:rsidR="005F0C00" w:rsidRDefault="005F0C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69A1" w14:textId="77777777" w:rsidR="005F0C00" w:rsidRDefault="005F0C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D63F" w14:textId="77777777" w:rsidR="005F0C00"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A541B" w14:textId="77777777" w:rsidR="00820A2F" w:rsidRDefault="00820A2F">
      <w:r>
        <w:separator/>
      </w:r>
    </w:p>
  </w:footnote>
  <w:footnote w:type="continuationSeparator" w:id="0">
    <w:p w14:paraId="0388E374" w14:textId="77777777" w:rsidR="00820A2F" w:rsidRDefault="00820A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97B9" w14:textId="77777777" w:rsidR="005F0C00" w:rsidRDefault="005F0C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91DDD" w14:textId="77777777" w:rsidR="005F0C00" w:rsidRDefault="005F0C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180C" w14:textId="77777777" w:rsidR="005F0C00" w:rsidRDefault="005F0C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27BBA"/>
    <w:multiLevelType w:val="multilevel"/>
    <w:tmpl w:val="E24ABAC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213A5CFE"/>
    <w:multiLevelType w:val="multilevel"/>
    <w:tmpl w:val="A6C2D1DA"/>
    <w:lvl w:ilvl="0">
      <w:start w:val="1"/>
      <w:numFmt w:val="upperRoman"/>
      <w:lvlText w:val="%1."/>
      <w:lvlJc w:val="center"/>
      <w:pPr>
        <w:tabs>
          <w:tab w:val="num" w:pos="576"/>
        </w:tabs>
        <w:ind w:left="0" w:firstLine="216"/>
      </w:pPr>
      <w:rPr>
        <w:rFonts w:cs="Times New Roman"/>
        <w:caps w:val="0"/>
        <w:smallCaps w:val="0"/>
        <w:strike w:val="0"/>
        <w:dstrike w:val="0"/>
        <w:vanish w:val="0"/>
        <w:color w:val="auto"/>
        <w:position w:val="0"/>
        <w:sz w:val="20"/>
        <w:szCs w:val="20"/>
        <w:vertAlign w:val="baseline"/>
      </w:rPr>
    </w:lvl>
    <w:lvl w:ilvl="1">
      <w:start w:val="1"/>
      <w:numFmt w:val="upperLetter"/>
      <w:lvlText w:val="%2."/>
      <w:lvlJc w:val="left"/>
      <w:pPr>
        <w:tabs>
          <w:tab w:val="num" w:pos="360"/>
        </w:tabs>
        <w:ind w:left="288" w:hanging="288"/>
      </w:pPr>
      <w:rPr>
        <w:rFonts w:cs="Times New Roman"/>
        <w:b w:val="0"/>
        <w:bCs w:val="0"/>
        <w:i/>
        <w:iCs/>
        <w:caps w:val="0"/>
        <w:smallCaps w:val="0"/>
        <w:strike w:val="0"/>
        <w:dstrike w:val="0"/>
        <w:vanish w:val="0"/>
        <w:color w:val="auto"/>
        <w:position w:val="0"/>
        <w:sz w:val="16"/>
        <w:szCs w:val="20"/>
        <w:vertAlign w:val="baseline"/>
      </w:rPr>
    </w:lvl>
    <w:lvl w:ilvl="2">
      <w:start w:val="1"/>
      <w:numFmt w:val="decimal"/>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lvlText w:val="%4)"/>
      <w:lvlJc w:val="left"/>
      <w:pPr>
        <w:tabs>
          <w:tab w:val="num" w:pos="630"/>
        </w:tabs>
        <w:ind w:left="0" w:firstLine="360"/>
      </w:pPr>
      <w:rPr>
        <w:rFonts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5D346F3E"/>
    <w:multiLevelType w:val="multilevel"/>
    <w:tmpl w:val="B8228FB2"/>
    <w:lvl w:ilvl="0">
      <w:start w:val="1"/>
      <w:numFmt w:val="upperRoman"/>
      <w:pStyle w:val="Heading1"/>
      <w:lvlText w:val="%1."/>
      <w:lvlJc w:val="center"/>
      <w:pPr>
        <w:tabs>
          <w:tab w:val="num" w:pos="576"/>
        </w:tabs>
        <w:ind w:left="0" w:firstLine="216"/>
      </w:pPr>
      <w:rPr>
        <w:rFonts w:cs="Times New Roman"/>
        <w:caps w:val="0"/>
        <w:smallCaps w:val="0"/>
        <w:strike w:val="0"/>
        <w:dstrike w:val="0"/>
        <w:vanish w:val="0"/>
        <w:color w:val="auto"/>
        <w:position w:val="0"/>
        <w:sz w:val="16"/>
        <w:szCs w:val="20"/>
        <w:vertAlign w:val="baseline"/>
      </w:rPr>
    </w:lvl>
    <w:lvl w:ilvl="1">
      <w:start w:val="1"/>
      <w:numFmt w:val="upperLetter"/>
      <w:pStyle w:val="Heading2"/>
      <w:lvlText w:val="%2."/>
      <w:lvlJc w:val="left"/>
      <w:pPr>
        <w:tabs>
          <w:tab w:val="num" w:pos="360"/>
        </w:tabs>
        <w:ind w:left="288" w:hanging="288"/>
      </w:pPr>
      <w:rPr>
        <w:rFonts w:cs="Times New Roman"/>
        <w:b w:val="0"/>
        <w:bCs w:val="0"/>
        <w:i/>
        <w:iCs/>
        <w:caps w:val="0"/>
        <w:smallCaps w:val="0"/>
        <w:strike w:val="0"/>
        <w:dstrike w:val="0"/>
        <w:vanish w:val="0"/>
        <w:color w:val="auto"/>
        <w:position w:val="0"/>
        <w:sz w:val="16"/>
        <w:szCs w:val="20"/>
        <w:vertAlign w:val="baseline"/>
      </w:rPr>
    </w:lvl>
    <w:lvl w:ilvl="2">
      <w:start w:val="1"/>
      <w:numFmt w:val="decimal"/>
      <w:pStyle w:val="Heading3"/>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pStyle w:val="Heading4"/>
      <w:lvlText w:val="%4)"/>
      <w:lvlJc w:val="left"/>
      <w:pPr>
        <w:tabs>
          <w:tab w:val="num" w:pos="630"/>
        </w:tabs>
        <w:ind w:left="0" w:firstLine="360"/>
      </w:pPr>
      <w:rPr>
        <w:rFonts w:cs="Times New Roman"/>
        <w:b w:val="0"/>
        <w:bCs w:val="0"/>
        <w:i/>
        <w:iCs/>
        <w:sz w:val="20"/>
        <w:szCs w:val="20"/>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17210636">
    <w:abstractNumId w:val="2"/>
  </w:num>
  <w:num w:numId="2" w16cid:durableId="1024133788">
    <w:abstractNumId w:val="1"/>
  </w:num>
  <w:num w:numId="3" w16cid:durableId="1720981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00"/>
    <w:rsid w:val="0022086E"/>
    <w:rsid w:val="0029482E"/>
    <w:rsid w:val="005F0C00"/>
    <w:rsid w:val="0070479B"/>
    <w:rsid w:val="00820A2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90DCF"/>
  <w15:docId w15:val="{52C80A02-A8D7-4FDC-ADB9-9B68FEEC2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outlineLvl w:val="0"/>
    </w:pPr>
    <w:rPr>
      <w:smallCaps/>
    </w:rPr>
  </w:style>
  <w:style w:type="paragraph" w:styleId="Heading2">
    <w:name w:val="heading 2"/>
    <w:basedOn w:val="Normal"/>
    <w:next w:val="Normal"/>
    <w:qFormat/>
    <w:rsid w:val="00ED0149"/>
    <w:pPr>
      <w:keepNext/>
      <w:keepLines/>
      <w:numPr>
        <w:ilvl w:val="1"/>
        <w:numId w:val="1"/>
      </w:numPr>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0B2167"/>
    <w:rPr>
      <w:color w:val="0563C1" w:themeColor="hyperlink"/>
      <w:u w:val="single"/>
    </w:rPr>
  </w:style>
  <w:style w:type="character" w:styleId="UnresolvedMention">
    <w:name w:val="Unresolved Mention"/>
    <w:basedOn w:val="DefaultParagraphFont"/>
    <w:uiPriority w:val="99"/>
    <w:semiHidden/>
    <w:unhideWhenUsed/>
    <w:qFormat/>
    <w:rsid w:val="000B2167"/>
    <w:rPr>
      <w:color w:val="605E5C"/>
      <w:shd w:val="clear" w:color="auto" w:fill="E1DFDD"/>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tabs>
        <w:tab w:val="left" w:pos="533"/>
      </w:tabs>
      <w:spacing w:before="80" w:after="200"/>
      <w:jc w:val="both"/>
    </w:pPr>
    <w:rPr>
      <w:sz w:val="16"/>
      <w:szCs w:val="16"/>
    </w:rPr>
  </w:style>
  <w:style w:type="paragraph" w:customStyle="1" w:styleId="footnote">
    <w:name w:val="footnote"/>
    <w:qFormat/>
    <w:p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spacing w:before="60" w:after="30"/>
      <w:ind w:left="58" w:hanging="29"/>
      <w:jc w:val="right"/>
    </w:pPr>
    <w:rPr>
      <w:sz w:val="12"/>
      <w:szCs w:val="12"/>
    </w:rPr>
  </w:style>
  <w:style w:type="paragraph" w:customStyle="1" w:styleId="tablehead">
    <w:name w:val="table head"/>
    <w:qFormat/>
    <w:p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2839</Words>
  <Characters>16183</Characters>
  <Application>Microsoft Office Word</Application>
  <DocSecurity>0</DocSecurity>
  <Lines>134</Lines>
  <Paragraphs>37</Paragraphs>
  <ScaleCrop>false</ScaleCrop>
  <Company>IEEE</Company>
  <LinksUpToDate>false</LinksUpToDate>
  <CharactersWithSpaces>18985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Huzefa Memon</cp:lastModifiedBy>
  <cp:revision>2</cp:revision>
  <dcterms:created xsi:type="dcterms:W3CDTF">2026-07-02T13:34:00Z</dcterms:created>
  <dcterms:modified xsi:type="dcterms:W3CDTF">2026-07-02T13:34:00Z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MSIP_Label_181c070e-054b-4d1c-ba4c-fc70b099192e_ActionId">
    <vt:lpwstr>f425a3dd-f8e8-44c9-89bb-8df9a41334a7</vt:lpwstr>
  </property>
  <property fmtid="{D5CDD505-2E9C-101B-9397-08002B2CF9AE}" pid="5" name="MSIP_Label_181c070e-054b-4d1c-ba4c-fc70b099192e_Application">
    <vt:lpwstr>Microsoft Azure Information Protection</vt:lpwstr>
  </property>
  <property fmtid="{D5CDD505-2E9C-101B-9397-08002B2CF9AE}" pid="6" name="MSIP_Label_181c070e-054b-4d1c-ba4c-fc70b099192e_Enabled">
    <vt:lpwstr>True</vt:lpwstr>
  </property>
  <property fmtid="{D5CDD505-2E9C-101B-9397-08002B2CF9AE}" pid="7" name="MSIP_Label_181c070e-054b-4d1c-ba4c-fc70b099192e_Extended_MSFT_Method">
    <vt:lpwstr>Automatic</vt:lpwstr>
  </property>
  <property fmtid="{D5CDD505-2E9C-101B-9397-08002B2CF9AE}" pid="8" name="MSIP_Label_181c070e-054b-4d1c-ba4c-fc70b099192e_Name">
    <vt:lpwstr>General</vt:lpwstr>
  </property>
  <property fmtid="{D5CDD505-2E9C-101B-9397-08002B2CF9AE}" pid="9" name="MSIP_Label_181c070e-054b-4d1c-ba4c-fc70b099192e_Owner">
    <vt:lpwstr>Aafreen.Ayub@informa.com</vt:lpwstr>
  </property>
  <property fmtid="{D5CDD505-2E9C-101B-9397-08002B2CF9AE}" pid="10" name="MSIP_Label_181c070e-054b-4d1c-ba4c-fc70b099192e_SetDate">
    <vt:lpwstr>2021-03-04T08:42:48.2269927Z</vt:lpwstr>
  </property>
  <property fmtid="{D5CDD505-2E9C-101B-9397-08002B2CF9AE}" pid="11" name="MSIP_Label_181c070e-054b-4d1c-ba4c-fc70b099192e_SiteId">
    <vt:lpwstr>2567d566-604c-408a-8a60-55d0dc9d9d6b</vt:lpwstr>
  </property>
  <property fmtid="{D5CDD505-2E9C-101B-9397-08002B2CF9AE}" pid="12" name="MSIP_Label_2bbab825-a111-45e4-86a1-18cee0005896_ActionId">
    <vt:lpwstr>f425a3dd-f8e8-44c9-89bb-8df9a41334a7</vt:lpwstr>
  </property>
  <property fmtid="{D5CDD505-2E9C-101B-9397-08002B2CF9AE}" pid="13" name="MSIP_Label_2bbab825-a111-45e4-86a1-18cee0005896_Application">
    <vt:lpwstr>Microsoft Azure Information Protection</vt:lpwstr>
  </property>
  <property fmtid="{D5CDD505-2E9C-101B-9397-08002B2CF9AE}" pid="14" name="MSIP_Label_2bbab825-a111-45e4-86a1-18cee0005896_Enabled">
    <vt:lpwstr>True</vt:lpwstr>
  </property>
  <property fmtid="{D5CDD505-2E9C-101B-9397-08002B2CF9AE}" pid="15" name="MSIP_Label_2bbab825-a111-45e4-86a1-18cee0005896_Extended_MSFT_Method">
    <vt:lpwstr>Automatic</vt:lpwstr>
  </property>
  <property fmtid="{D5CDD505-2E9C-101B-9397-08002B2CF9AE}" pid="16" name="MSIP_Label_2bbab825-a111-45e4-86a1-18cee0005896_Name">
    <vt:lpwstr>Un-restricted</vt:lpwstr>
  </property>
  <property fmtid="{D5CDD505-2E9C-101B-9397-08002B2CF9AE}" pid="17" name="MSIP_Label_2bbab825-a111-45e4-86a1-18cee0005896_Owner">
    <vt:lpwstr>Aafreen.Ayub@informa.com</vt:lpwstr>
  </property>
  <property fmtid="{D5CDD505-2E9C-101B-9397-08002B2CF9AE}" pid="18" name="MSIP_Label_2bbab825-a111-45e4-86a1-18cee0005896_Parent">
    <vt:lpwstr>181c070e-054b-4d1c-ba4c-fc70b099192e</vt:lpwstr>
  </property>
  <property fmtid="{D5CDD505-2E9C-101B-9397-08002B2CF9AE}" pid="19" name="MSIP_Label_2bbab825-a111-45e4-86a1-18cee0005896_SetDate">
    <vt:lpwstr>2021-03-04T08:42:48.2269927Z</vt:lpwstr>
  </property>
  <property fmtid="{D5CDD505-2E9C-101B-9397-08002B2CF9AE}" pid="20" name="MSIP_Label_2bbab825-a111-45e4-86a1-18cee0005896_SiteId">
    <vt:lpwstr>2567d566-604c-408a-8a60-55d0dc9d9d6b</vt:lpwstr>
  </property>
  <property fmtid="{D5CDD505-2E9C-101B-9397-08002B2CF9AE}" pid="21" name="ScaleCrop">
    <vt:bool>false</vt:bool>
  </property>
  <property fmtid="{D5CDD505-2E9C-101B-9397-08002B2CF9AE}" pid="22" name="Sensitivity">
    <vt:lpwstr>General Un-restricted</vt:lpwstr>
  </property>
  <property fmtid="{D5CDD505-2E9C-101B-9397-08002B2CF9AE}" pid="23" name="ShareDoc">
    <vt:bool>false</vt:bool>
  </property>
</Properties>
</file>