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1BC9B1A" w:rsidP="1AEC1011" w:rsidRDefault="41BC9B1A" w14:paraId="511251CF" w14:textId="359DB068">
      <w:pPr>
        <w:pStyle w:val="Heading3"/>
        <w:spacing w:before="281" w:beforeAutospacing="off" w:after="281" w:afterAutospacing="off"/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CRAR (Capital to Risk-Weighted Assets Ratio)</w:t>
      </w:r>
    </w:p>
    <w:p w:rsidR="41BC9B1A" w:rsidP="1AEC1011" w:rsidRDefault="41BC9B1A" w14:paraId="47EA7857" w14:textId="3C8373F3">
      <w:pPr>
        <w:spacing w:before="240" w:beforeAutospacing="off" w:after="240" w:afterAutospacing="off"/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CRAR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also known as the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Capital Adequacy Ratio (CAR)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is a measure used to assess a bank's financial strength by comparing its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capital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its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risk-weighted assets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. It ensures that banks have enough capital to absorb potential losses and protect depositors.</w:t>
      </w:r>
    </w:p>
    <w:p w:rsidR="1AEC1011" w:rsidRDefault="1AEC1011" w14:paraId="34EAA805" w14:textId="3C84C56A"/>
    <w:p w:rsidR="41BC9B1A" w:rsidP="1AEC1011" w:rsidRDefault="41BC9B1A" w14:paraId="264A888A" w14:textId="74AA15A2">
      <w:pPr>
        <w:pStyle w:val="Heading3"/>
        <w:spacing w:before="281" w:beforeAutospacing="off" w:after="281" w:afterAutospacing="off"/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Formula:</w:t>
      </w:r>
    </w:p>
    <w:p w:rsidR="4F863950" w:rsidRDefault="4F863950" w14:paraId="29B8AEA1" w14:textId="221C4E11">
      <w:r w:rsidR="4F863950">
        <w:drawing>
          <wp:inline wp14:editId="5C0A5A32" wp14:anchorId="2C442403">
            <wp:extent cx="5153746" cy="1181265"/>
            <wp:effectExtent l="0" t="0" r="0" b="0"/>
            <wp:docPr id="2294736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65815b3f5f40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C1011" w:rsidRDefault="1AEC1011" w14:paraId="0B7EB8CD" w14:textId="4730233F"/>
    <w:p w:rsidR="41BC9B1A" w:rsidP="1AEC1011" w:rsidRDefault="41BC9B1A" w14:paraId="404727C8" w14:textId="33A30658">
      <w:pPr>
        <w:pStyle w:val="Heading3"/>
        <w:spacing w:before="281" w:beforeAutospacing="off" w:after="281" w:afterAutospacing="off"/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Components:</w:t>
      </w:r>
    </w:p>
    <w:p w:rsidR="41BC9B1A" w:rsidP="1AEC1011" w:rsidRDefault="41BC9B1A" w14:paraId="123F8E51" w14:textId="674F58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I Capital (Core Capital):</w:t>
      </w:r>
    </w:p>
    <w:p w:rsidR="41BC9B1A" w:rsidP="1AEC1011" w:rsidRDefault="41BC9B1A" w14:paraId="3791D641" w14:textId="4CBC182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Includes equity capital and disclosed reserves.</w:t>
      </w:r>
    </w:p>
    <w:p w:rsidR="41BC9B1A" w:rsidP="1AEC1011" w:rsidRDefault="41BC9B1A" w14:paraId="69131B3B" w14:textId="3AA1EA5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Absorbs losses without requiring the bank to stop operations.</w:t>
      </w:r>
    </w:p>
    <w:p w:rsidR="41BC9B1A" w:rsidP="1AEC1011" w:rsidRDefault="41BC9B1A" w14:paraId="391A503D" w14:textId="44A470E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Examples: Paid-up capital, retained earnings.</w:t>
      </w:r>
    </w:p>
    <w:p w:rsidR="41BC9B1A" w:rsidP="1AEC1011" w:rsidRDefault="41BC9B1A" w14:paraId="04D07901" w14:textId="11C5A7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II Capital (Supplementary Capital):</w:t>
      </w:r>
    </w:p>
    <w:p w:rsidR="41BC9B1A" w:rsidP="1AEC1011" w:rsidRDefault="41BC9B1A" w14:paraId="68CEF86E" w14:textId="22B9881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Absorbs losses in the event of winding up.</w:t>
      </w:r>
    </w:p>
    <w:p w:rsidR="41BC9B1A" w:rsidP="1AEC1011" w:rsidRDefault="41BC9B1A" w14:paraId="7195C8FF" w14:textId="51E7568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Examples: Revaluation reserves, subordinated debt.</w:t>
      </w:r>
    </w:p>
    <w:p w:rsidR="41BC9B1A" w:rsidP="1AEC1011" w:rsidRDefault="41BC9B1A" w14:paraId="3A2403FC" w14:textId="12CC79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Risk-Weighted Assets (RWA):</w:t>
      </w:r>
    </w:p>
    <w:p w:rsidR="41BC9B1A" w:rsidP="1AEC1011" w:rsidRDefault="41BC9B1A" w14:paraId="41D64335" w14:textId="5DB4435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Assets adjusted for credit risk, market risk, and operational risk.</w:t>
      </w:r>
    </w:p>
    <w:p w:rsidR="41BC9B1A" w:rsidP="1AEC1011" w:rsidRDefault="41BC9B1A" w14:paraId="1CFAB996" w14:textId="19D0987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For example, loans to government have 0% risk weight, while personal loans have 100%.</w:t>
      </w:r>
    </w:p>
    <w:p w:rsidR="1AEC1011" w:rsidRDefault="1AEC1011" w14:paraId="51F9D26C" w14:textId="5791173F"/>
    <w:p w:rsidR="41BC9B1A" w:rsidP="1AEC1011" w:rsidRDefault="41BC9B1A" w14:paraId="717CADD5" w14:textId="4DA84A6E">
      <w:pPr>
        <w:pStyle w:val="Heading3"/>
        <w:spacing w:before="281" w:beforeAutospacing="off" w:after="281" w:afterAutospacing="off"/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CRAR Requirements as per Basel Norms: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507"/>
        <w:gridCol w:w="4821"/>
      </w:tblGrid>
      <w:tr w:rsidR="1AEC1011" w:rsidTr="1AEC1011" w14:paraId="1FC15CED">
        <w:trPr>
          <w:trHeight w:val="300"/>
        </w:trPr>
        <w:tc>
          <w:tcPr>
            <w:tcW w:w="1507" w:type="dxa"/>
            <w:tcMar/>
            <w:vAlign w:val="center"/>
          </w:tcPr>
          <w:p w:rsidR="1AEC1011" w:rsidP="1AEC1011" w:rsidRDefault="1AEC1011" w14:paraId="60E96BDA" w14:textId="02B9C13C">
            <w:pPr>
              <w:spacing w:before="0" w:beforeAutospacing="off" w:after="0" w:afterAutospacing="off"/>
              <w:jc w:val="center"/>
            </w:pPr>
            <w:r w:rsidRPr="1AEC1011" w:rsidR="1AEC1011">
              <w:rPr>
                <w:b w:val="1"/>
                <w:bCs w:val="1"/>
              </w:rPr>
              <w:t>Basel Norm</w:t>
            </w:r>
          </w:p>
        </w:tc>
        <w:tc>
          <w:tcPr>
            <w:tcW w:w="4821" w:type="dxa"/>
            <w:tcMar/>
            <w:vAlign w:val="center"/>
          </w:tcPr>
          <w:p w:rsidR="1AEC1011" w:rsidP="1AEC1011" w:rsidRDefault="1AEC1011" w14:paraId="473389DF" w14:textId="3E3D196E">
            <w:pPr>
              <w:spacing w:before="0" w:beforeAutospacing="off" w:after="0" w:afterAutospacing="off"/>
              <w:jc w:val="center"/>
            </w:pPr>
            <w:r w:rsidRPr="1AEC1011" w:rsidR="1AEC1011">
              <w:rPr>
                <w:b w:val="1"/>
                <w:bCs w:val="1"/>
              </w:rPr>
              <w:t>Minimum CRAR Requirement</w:t>
            </w:r>
          </w:p>
        </w:tc>
      </w:tr>
      <w:tr w:rsidR="1AEC1011" w:rsidTr="1AEC1011" w14:paraId="2BFB72F3">
        <w:trPr>
          <w:trHeight w:val="300"/>
        </w:trPr>
        <w:tc>
          <w:tcPr>
            <w:tcW w:w="1507" w:type="dxa"/>
            <w:tcMar/>
            <w:vAlign w:val="center"/>
          </w:tcPr>
          <w:p w:rsidR="1AEC1011" w:rsidP="1AEC1011" w:rsidRDefault="1AEC1011" w14:paraId="648BF0D2" w14:textId="0817E246">
            <w:pPr>
              <w:spacing w:before="0" w:beforeAutospacing="off" w:after="0" w:afterAutospacing="off"/>
            </w:pPr>
            <w:r w:rsidRPr="1AEC1011" w:rsidR="1AEC1011">
              <w:rPr>
                <w:b w:val="1"/>
                <w:bCs w:val="1"/>
              </w:rPr>
              <w:t>Basel I</w:t>
            </w:r>
          </w:p>
        </w:tc>
        <w:tc>
          <w:tcPr>
            <w:tcW w:w="4821" w:type="dxa"/>
            <w:tcMar/>
            <w:vAlign w:val="center"/>
          </w:tcPr>
          <w:p w:rsidR="1AEC1011" w:rsidP="1AEC1011" w:rsidRDefault="1AEC1011" w14:paraId="628B8868" w14:textId="42AF50E3">
            <w:pPr>
              <w:spacing w:before="0" w:beforeAutospacing="off" w:after="0" w:afterAutospacing="off"/>
            </w:pPr>
            <w:r w:rsidR="1AEC1011">
              <w:rPr/>
              <w:t>8%</w:t>
            </w:r>
          </w:p>
        </w:tc>
      </w:tr>
      <w:tr w:rsidR="1AEC1011" w:rsidTr="1AEC1011" w14:paraId="15E14244">
        <w:trPr>
          <w:trHeight w:val="300"/>
        </w:trPr>
        <w:tc>
          <w:tcPr>
            <w:tcW w:w="1507" w:type="dxa"/>
            <w:tcMar/>
            <w:vAlign w:val="center"/>
          </w:tcPr>
          <w:p w:rsidR="1AEC1011" w:rsidP="1AEC1011" w:rsidRDefault="1AEC1011" w14:paraId="6C2D113A" w14:textId="6F93B8A7">
            <w:pPr>
              <w:spacing w:before="0" w:beforeAutospacing="off" w:after="0" w:afterAutospacing="off"/>
            </w:pPr>
            <w:r w:rsidRPr="1AEC1011" w:rsidR="1AEC1011">
              <w:rPr>
                <w:b w:val="1"/>
                <w:bCs w:val="1"/>
              </w:rPr>
              <w:t>Basel II</w:t>
            </w:r>
          </w:p>
        </w:tc>
        <w:tc>
          <w:tcPr>
            <w:tcW w:w="4821" w:type="dxa"/>
            <w:tcMar/>
            <w:vAlign w:val="center"/>
          </w:tcPr>
          <w:p w:rsidR="1AEC1011" w:rsidP="1AEC1011" w:rsidRDefault="1AEC1011" w14:paraId="4A2AD3F2" w14:textId="0E9C84E9">
            <w:pPr>
              <w:spacing w:before="0" w:beforeAutospacing="off" w:after="0" w:afterAutospacing="off"/>
            </w:pPr>
            <w:r w:rsidR="1AEC1011">
              <w:rPr/>
              <w:t>8% (same as Basel I)</w:t>
            </w:r>
          </w:p>
        </w:tc>
      </w:tr>
      <w:tr w:rsidR="1AEC1011" w:rsidTr="1AEC1011" w14:paraId="5D60F2C7">
        <w:trPr>
          <w:trHeight w:val="300"/>
        </w:trPr>
        <w:tc>
          <w:tcPr>
            <w:tcW w:w="1507" w:type="dxa"/>
            <w:tcMar/>
            <w:vAlign w:val="center"/>
          </w:tcPr>
          <w:p w:rsidR="1AEC1011" w:rsidP="1AEC1011" w:rsidRDefault="1AEC1011" w14:paraId="3180C617" w14:textId="3E5D77E8">
            <w:pPr>
              <w:spacing w:before="0" w:beforeAutospacing="off" w:after="0" w:afterAutospacing="off"/>
            </w:pPr>
            <w:r w:rsidRPr="1AEC1011" w:rsidR="1AEC1011">
              <w:rPr>
                <w:b w:val="1"/>
                <w:bCs w:val="1"/>
              </w:rPr>
              <w:t>Basel III</w:t>
            </w:r>
          </w:p>
        </w:tc>
        <w:tc>
          <w:tcPr>
            <w:tcW w:w="4821" w:type="dxa"/>
            <w:tcMar/>
            <w:vAlign w:val="center"/>
          </w:tcPr>
          <w:p w:rsidR="1AEC1011" w:rsidP="1AEC1011" w:rsidRDefault="1AEC1011" w14:paraId="0E69B3E9" w14:textId="6E1FB272">
            <w:pPr>
              <w:spacing w:before="0" w:beforeAutospacing="off" w:after="0" w:afterAutospacing="off"/>
            </w:pPr>
            <w:r w:rsidR="1AEC1011">
              <w:rPr/>
              <w:t>10.5% (including Capital Conservation Buffer)</w:t>
            </w:r>
          </w:p>
        </w:tc>
      </w:tr>
    </w:tbl>
    <w:p w:rsidR="41BC9B1A" w:rsidP="1AEC1011" w:rsidRDefault="41BC9B1A" w14:paraId="07F1AB8B" w14:textId="1F119346">
      <w:pPr>
        <w:spacing w:before="240" w:beforeAutospacing="off" w:after="240" w:afterAutospacing="off"/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</w:p>
    <w:p w:rsidR="41BC9B1A" w:rsidP="1AEC1011" w:rsidRDefault="41BC9B1A" w14:paraId="6DD9D072" w14:textId="0A4866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India, the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RBI requires banks to maintain a minimum CRAR of 9%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 Basel III (stricter than the international standard of 8%).</w:t>
      </w:r>
    </w:p>
    <w:p w:rsidR="41BC9B1A" w:rsidP="1AEC1011" w:rsidRDefault="41BC9B1A" w14:paraId="09B7A9BE" w14:textId="3F2D5A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sector banks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 banks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comply with these norms to remain financially sound.</w:t>
      </w:r>
    </w:p>
    <w:p w:rsidR="1AEC1011" w:rsidRDefault="1AEC1011" w14:paraId="33A89652" w14:textId="67B3E7D6"/>
    <w:p w:rsidR="41BC9B1A" w:rsidP="1AEC1011" w:rsidRDefault="41BC9B1A" w14:paraId="3ACDAD3F" w14:textId="271E64B4">
      <w:pPr>
        <w:pStyle w:val="Heading3"/>
        <w:spacing w:before="281" w:beforeAutospacing="off" w:after="281" w:afterAutospacing="off"/>
      </w:pPr>
      <w:r w:rsidRPr="1AEC1011" w:rsidR="41BC9B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Importance of CRAR:</w:t>
      </w:r>
    </w:p>
    <w:p w:rsidR="41BC9B1A" w:rsidP="1AEC1011" w:rsidRDefault="41BC9B1A" w14:paraId="7771ED13" w14:textId="5A6562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banking stability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BC9B1A" w:rsidP="1AEC1011" w:rsidRDefault="41BC9B1A" w14:paraId="2120DE4D" w14:textId="751800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Protects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depositors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BC9B1A" w:rsidP="1AEC1011" w:rsidRDefault="41BC9B1A" w14:paraId="638A8D57" w14:textId="52A0FE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Helps in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international comparison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banks.</w:t>
      </w:r>
    </w:p>
    <w:p w:rsidR="41BC9B1A" w:rsidP="1AEC1011" w:rsidRDefault="41BC9B1A" w14:paraId="4DAAA500" w14:textId="4A731C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Promotes </w:t>
      </w:r>
      <w:r w:rsidRPr="1AEC1011" w:rsidR="41BC9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confidence</w:t>
      </w: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financial system.</w:t>
      </w:r>
    </w:p>
    <w:p w:rsidR="41BC9B1A" w:rsidP="1AEC1011" w:rsidRDefault="41BC9B1A" w14:paraId="1D77C2D1" w14:textId="1A7DA92E">
      <w:pPr>
        <w:spacing w:before="240" w:beforeAutospacing="off" w:after="240" w:afterAutospacing="off"/>
      </w:pPr>
      <w:r w:rsidRPr="1AEC1011" w:rsidR="41BC9B1A">
        <w:rPr>
          <w:rFonts w:ascii="Aptos" w:hAnsi="Aptos" w:eastAsia="Aptos" w:cs="Aptos"/>
          <w:noProof w:val="0"/>
          <w:sz w:val="24"/>
          <w:szCs w:val="24"/>
          <w:lang w:val="en-US"/>
        </w:rPr>
        <w:t>Would you like a breakdown of Tier I and Tier II capital examples with a sample calculation?</w:t>
      </w:r>
    </w:p>
    <w:p w:rsidR="1AEC1011" w:rsidP="1AEC1011" w:rsidRDefault="1AEC1011" w14:paraId="51E2A5E8" w14:textId="5AFD1D0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5c72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665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45d3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E98A8A"/>
    <w:rsid w:val="1AEC1011"/>
    <w:rsid w:val="41BC9B1A"/>
    <w:rsid w:val="4F863950"/>
    <w:rsid w:val="63E98AF7"/>
    <w:rsid w:val="73E98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8A8A"/>
  <w15:chartTrackingRefBased/>
  <w15:docId w15:val="{01C984A8-FE46-4595-91A7-2E1FF6445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AEC101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465815b3f5f40a2" /><Relationship Type="http://schemas.openxmlformats.org/officeDocument/2006/relationships/numbering" Target="numbering.xml" Id="R9cd7064a08d24e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2025-05-04T18:29:54.5500295Z</dcterms:created>
  <dcterms:modified xsi:type="dcterms:W3CDTF">2025-05-04T18:32:03.8511003Z</dcterms:modified>
  <dc:creator>Praful Ghagare</dc:creator>
  <lastModifiedBy>Praful Ghagare</lastModifiedBy>
</coreProperties>
</file>