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SIMATS ENGINEERING</w:t>
        <w:br/>
        <w:t>Assessment Tool 2: Scenario-Based Answers</w:t>
      </w:r>
    </w:p>
    <w:p>
      <w:pPr>
        <w:pStyle w:val="Heading2"/>
      </w:pPr>
      <w:r>
        <w:t>Course: Cloud Computing and Big Data Analytics (CSA15)</w:t>
      </w:r>
    </w:p>
    <w:p>
      <w:pPr>
        <w:pStyle w:val="Heading1"/>
      </w:pPr>
      <w:r>
        <w:t>Q1. Private Cloud for Financial Institution</w:t>
      </w:r>
    </w:p>
    <w:p>
      <w:r>
        <w:rPr>
          <w:sz w:val="22"/>
        </w:rPr>
        <w:t>Recommended architecture:</w:t>
        <w:br/>
        <w:t>• Private cloud with clustered servers, redundant storage, firewalls and segmented networks.</w:t>
        <w:br/>
        <w:t>• Type 1 hypervisor (e.g., VMware ESXi/Hyper-V) for strong isolation.</w:t>
        <w:br/>
        <w:br/>
        <w:t>Virtualization &amp; compliance:</w:t>
        <w:br/>
        <w:t>• VM isolation prevents cross-tenant access.</w:t>
        <w:br/>
        <w:t>• Virtual firewalls and micro-segmentation protect workloads.</w:t>
        <w:br/>
        <w:t>• Encryption, Secure Boot, TPM, MFA, audit logs and role-based access control help satisfy regulatory requirements such as PCI-DSS and ISO 27001.</w:t>
      </w:r>
    </w:p>
    <w:p>
      <w:pPr>
        <w:pStyle w:val="Heading1"/>
      </w:pPr>
      <w:r>
        <w:t>Q2. Noisy Neighbor Effect</w:t>
      </w:r>
    </w:p>
    <w:p>
      <w:r>
        <w:rPr>
          <w:sz w:val="22"/>
        </w:rPr>
        <w:t>Root cause:</w:t>
        <w:br/>
        <w:t>Multiple virtual machines compete for CPU, memory, storage and network resources on the same host.</w:t>
        <w:br/>
        <w:br/>
        <w:t>Solutions:</w:t>
        <w:br/>
        <w:t>• Reserve CPU and memory resources.</w:t>
        <w:br/>
        <w:t>• Apply resource quotas and limits.</w:t>
        <w:br/>
        <w:t>• Use hypervisor scheduling and live migration.</w:t>
        <w:br/>
        <w:t>• Monitor workloads and automatically rebalance VMs.</w:t>
        <w:br/>
        <w:t>Result: Stable application performance and improved QoS.</w:t>
      </w:r>
    </w:p>
    <w:p>
      <w:pPr>
        <w:pStyle w:val="Heading1"/>
      </w:pPr>
      <w:r>
        <w:t>Q3. Migrating to SOA</w:t>
      </w:r>
    </w:p>
    <w:p>
      <w:r>
        <w:rPr>
          <w:sz w:val="22"/>
        </w:rPr>
        <w:t>Migration strategy:</w:t>
        <w:br/>
        <w:t>• Identify business functions.</w:t>
        <w:br/>
        <w:t>• Break the monolithic application into reusable services.</w:t>
        <w:br/>
        <w:t>• Expose services using REST/SOAP APIs.</w:t>
        <w:br/>
        <w:t>• Deploy services independently using containers or VMs.</w:t>
        <w:br/>
        <w:br/>
        <w:t>Benefits:</w:t>
        <w:br/>
        <w:t>• Better scalability.</w:t>
        <w:br/>
        <w:t>• Easier maintenance.</w:t>
        <w:br/>
        <w:t>• Faster deployment.</w:t>
        <w:br/>
        <w:t>• Reusable and loosely coupled services.</w:t>
      </w:r>
    </w:p>
    <w:p>
      <w:pPr>
        <w:pStyle w:val="Heading1"/>
      </w:pPr>
      <w:r>
        <w:t>Q4. Identity Federation</w:t>
      </w:r>
    </w:p>
    <w:p>
      <w:r>
        <w:rPr>
          <w:sz w:val="22"/>
        </w:rPr>
        <w:t>Design:</w:t>
        <w:br/>
        <w:t>• Use Identity Provider (IdP) and Single Sign-On (SSO).</w:t>
        <w:br/>
        <w:t>• Authenticate with SAML 2.0 or OAuth 2.0/OpenID Connect.</w:t>
        <w:br/>
        <w:t>• Enforce MFA and RBAC.</w:t>
        <w:br/>
        <w:t>• Encrypt identity data and maintain audit logs.</w:t>
        <w:br/>
        <w:t>• Apply privacy policies based on least privilege and consent.</w:t>
      </w:r>
    </w:p>
    <w:p>
      <w:pPr>
        <w:pStyle w:val="Heading1"/>
      </w:pPr>
      <w:r>
        <w:t>Q5. Presence Services</w:t>
      </w:r>
    </w:p>
    <w:p>
      <w:r>
        <w:rPr>
          <w:sz w:val="22"/>
        </w:rPr>
        <w:t>Integration:</w:t>
        <w:br/>
        <w:t>• Use WebSockets for real-time communication.</w:t>
        <w:br/>
        <w:t>• Publish-subscribe messaging for status updates.</w:t>
        <w:br/>
        <w:t>• Redis or distributed cache for fast presence lookup.</w:t>
        <w:br/>
        <w:t>• Horizontal scaling with load balancers.</w:t>
        <w:br/>
        <w:br/>
        <w:t>Privacy:</w:t>
        <w:br/>
        <w:t>• User consent for visibility.</w:t>
        <w:br/>
        <w:t>• End-to-end encryption.</w:t>
        <w:br/>
        <w:t>• Access control and data minimization.</w:t>
        <w:br/>
        <w:t>Outcome: Real-time collaboration with high scalability and user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