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4F46E5"/>
          <w:sz w:val="22"/>
        </w:rPr>
        <w:t>ACADEMIC &amp; INDUSTRY PROJECT REPORT</w:t>
      </w:r>
    </w:p>
    <w:p>
      <w:pPr>
        <w:spacing w:before="240" w:after="240"/>
        <w:jc w:val="center"/>
      </w:pPr>
      <w:r>
        <w:rPr>
          <w:b/>
          <w:color w:val="1E3A8A"/>
          <w:sz w:val="48"/>
        </w:rPr>
        <w:t>QuickRes Agentic AI:</w:t>
        <w:br/>
        <w:t>Autonomous Support Investigation, Policy Reflection &amp; Risk-Gated Resolution System</w:t>
      </w:r>
    </w:p>
    <w:p>
      <w:pPr>
        <w:spacing w:after="800"/>
        <w:jc w:val="center"/>
      </w:pPr>
      <w:r>
        <w:rPr>
          <w:i/>
          <w:color w:val="64748B"/>
          <w:sz w:val="24"/>
        </w:rPr>
        <w:t>An Enterprise-Grade Autonomous Customer Operations Framework Combining LangGraph, Multi-Tool Reasoners, Dense Vector RAG, and Human-in-the-Loop Governance</w:t>
      </w:r>
    </w:p>
    <w:tbl>
      <w:tblPr>
        <w:tblW w:type="auto" w:w="0"/>
        <w:jc w:val="center"/>
        <w:tblLayout w:type="fixed"/>
        <w:tblLook w:firstColumn="1" w:firstRow="1" w:lastColumn="0" w:lastRow="0" w:noHBand="0" w:noVBand="1" w:val="04A0"/>
      </w:tblPr>
      <w:tblGrid>
        <w:gridCol w:w="4680"/>
        <w:gridCol w:w="4680"/>
      </w:tblGrid>
      <w:tr>
        <w:tc>
          <w:tcPr>
            <w:tcW w:type="dxa" w:w="3600"/>
            <w:shd w:fill="F1F5F9"/>
            <w:tcMar>
              <w:top w:w="80" w:type="dxa"/>
              <w:bottom w:w="80" w:type="dxa"/>
              <w:left w:w="120" w:type="dxa"/>
              <w:right w:w="120" w:type="dxa"/>
            </w:tcMar>
          </w:tcPr>
          <w:p>
            <w:r>
              <w:rPr>
                <w:b/>
                <w:color w:val="1E3A8A"/>
                <w:sz w:val="20"/>
              </w:rPr>
              <w:t>Project Title:</w:t>
            </w:r>
          </w:p>
        </w:tc>
        <w:tc>
          <w:tcPr>
            <w:tcW w:type="dxa" w:w="5760"/>
            <w:shd w:fill="F8FAFC"/>
            <w:tcMar>
              <w:top w:w="80" w:type="dxa"/>
              <w:bottom w:w="80" w:type="dxa"/>
              <w:left w:w="120" w:type="dxa"/>
              <w:right w:w="120" w:type="dxa"/>
            </w:tcMar>
          </w:tcPr>
          <w:p>
            <w:r>
              <w:rPr>
                <w:color w:val="1E293B"/>
                <w:sz w:val="20"/>
              </w:rPr>
              <w:t>QuickRes Agentic AI Framework</w:t>
            </w:r>
          </w:p>
        </w:tc>
      </w:tr>
      <w:tr>
        <w:tc>
          <w:tcPr>
            <w:tcW w:type="dxa" w:w="3600"/>
            <w:shd w:fill="F1F5F9"/>
            <w:tcMar>
              <w:top w:w="80" w:type="dxa"/>
              <w:bottom w:w="80" w:type="dxa"/>
              <w:left w:w="120" w:type="dxa"/>
              <w:right w:w="120" w:type="dxa"/>
            </w:tcMar>
          </w:tcPr>
          <w:p>
            <w:r>
              <w:rPr>
                <w:b/>
                <w:color w:val="1E3A8A"/>
                <w:sz w:val="20"/>
              </w:rPr>
              <w:t>Architecture Paradigm:</w:t>
            </w:r>
          </w:p>
        </w:tc>
        <w:tc>
          <w:tcPr>
            <w:tcW w:type="dxa" w:w="5760"/>
            <w:shd w:fill="F8FAFC"/>
            <w:tcMar>
              <w:top w:w="80" w:type="dxa"/>
              <w:bottom w:w="80" w:type="dxa"/>
              <w:left w:w="120" w:type="dxa"/>
              <w:right w:w="120" w:type="dxa"/>
            </w:tcMar>
          </w:tcPr>
          <w:p>
            <w:r>
              <w:rPr>
                <w:color w:val="1E293B"/>
                <w:sz w:val="20"/>
              </w:rPr>
              <w:t>Agentic AI with ReAct Investigation &amp; Reflection State Machine</w:t>
            </w:r>
          </w:p>
        </w:tc>
      </w:tr>
      <w:tr>
        <w:tc>
          <w:tcPr>
            <w:tcW w:type="dxa" w:w="3600"/>
            <w:shd w:fill="F1F5F9"/>
            <w:tcMar>
              <w:top w:w="80" w:type="dxa"/>
              <w:bottom w:w="80" w:type="dxa"/>
              <w:left w:w="120" w:type="dxa"/>
              <w:right w:w="120" w:type="dxa"/>
            </w:tcMar>
          </w:tcPr>
          <w:p>
            <w:r>
              <w:rPr>
                <w:b/>
                <w:color w:val="1E3A8A"/>
                <w:sz w:val="20"/>
              </w:rPr>
              <w:t>LLM &amp; Core Engine:</w:t>
            </w:r>
          </w:p>
        </w:tc>
        <w:tc>
          <w:tcPr>
            <w:tcW w:type="dxa" w:w="5760"/>
            <w:shd w:fill="F8FAFC"/>
            <w:tcMar>
              <w:top w:w="80" w:type="dxa"/>
              <w:bottom w:w="80" w:type="dxa"/>
              <w:left w:w="120" w:type="dxa"/>
              <w:right w:w="120" w:type="dxa"/>
            </w:tcMar>
          </w:tcPr>
          <w:p>
            <w:r>
              <w:rPr>
                <w:color w:val="1E293B"/>
                <w:sz w:val="20"/>
              </w:rPr>
              <w:t>Google Gemini 2.5 Flash / Pluggable Multi-Provider Architecture</w:t>
            </w:r>
          </w:p>
        </w:tc>
      </w:tr>
      <w:tr>
        <w:tc>
          <w:tcPr>
            <w:tcW w:type="dxa" w:w="3600"/>
            <w:shd w:fill="F1F5F9"/>
            <w:tcMar>
              <w:top w:w="80" w:type="dxa"/>
              <w:bottom w:w="80" w:type="dxa"/>
              <w:left w:w="120" w:type="dxa"/>
              <w:right w:w="120" w:type="dxa"/>
            </w:tcMar>
          </w:tcPr>
          <w:p>
            <w:r>
              <w:rPr>
                <w:b/>
                <w:color w:val="1E3A8A"/>
                <w:sz w:val="20"/>
              </w:rPr>
              <w:t>Orchestration Framework:</w:t>
            </w:r>
          </w:p>
        </w:tc>
        <w:tc>
          <w:tcPr>
            <w:tcW w:type="dxa" w:w="5760"/>
            <w:shd w:fill="F8FAFC"/>
            <w:tcMar>
              <w:top w:w="80" w:type="dxa"/>
              <w:bottom w:w="80" w:type="dxa"/>
              <w:left w:w="120" w:type="dxa"/>
              <w:right w:w="120" w:type="dxa"/>
            </w:tcMar>
          </w:tcPr>
          <w:p>
            <w:r>
              <w:rPr>
                <w:color w:val="1E293B"/>
                <w:sz w:val="20"/>
              </w:rPr>
              <w:t>LangGraph Stateful Directed Acyclic &amp; Cyclic Graphs</w:t>
            </w:r>
          </w:p>
        </w:tc>
      </w:tr>
      <w:tr>
        <w:tc>
          <w:tcPr>
            <w:tcW w:type="dxa" w:w="3600"/>
            <w:shd w:fill="F1F5F9"/>
            <w:tcMar>
              <w:top w:w="80" w:type="dxa"/>
              <w:bottom w:w="80" w:type="dxa"/>
              <w:left w:w="120" w:type="dxa"/>
              <w:right w:w="120" w:type="dxa"/>
            </w:tcMar>
          </w:tcPr>
          <w:p>
            <w:r>
              <w:rPr>
                <w:b/>
                <w:color w:val="1E3A8A"/>
                <w:sz w:val="20"/>
              </w:rPr>
              <w:t>Target Domain:</w:t>
            </w:r>
          </w:p>
        </w:tc>
        <w:tc>
          <w:tcPr>
            <w:tcW w:type="dxa" w:w="5760"/>
            <w:shd w:fill="F8FAFC"/>
            <w:tcMar>
              <w:top w:w="80" w:type="dxa"/>
              <w:bottom w:w="80" w:type="dxa"/>
              <w:left w:w="120" w:type="dxa"/>
              <w:right w:w="120" w:type="dxa"/>
            </w:tcMar>
          </w:tcPr>
          <w:p>
            <w:r>
              <w:rPr>
                <w:color w:val="1E293B"/>
                <w:sz w:val="20"/>
              </w:rPr>
              <w:t>E-Commerce &amp; SaaS Customer Support Automation</w:t>
            </w:r>
          </w:p>
        </w:tc>
      </w:tr>
    </w:tbl>
    <w:p>
      <w:r>
        <w:br w:type="page"/>
      </w:r>
    </w:p>
    <w:p>
      <w:pPr>
        <w:pStyle w:val="Heading1"/>
      </w:pPr>
      <w:r>
        <w:rPr>
          <w:color w:val="1E3A8A"/>
        </w:rPr>
        <w:t>Executive Summary</w:t>
      </w:r>
    </w:p>
    <w:p>
      <w:r>
        <w:t>Modern enterprise customer support operations face an escalating trilemma: rising ticket volumes, increasingly intricate corporate standard operating procedures (SOPs), and the imperative to maintain strict financial and reputational safety. Traditional deterministic rule engines are brittle and incapable of handling conversational nuances, while standard Retrieval-Augmented Generation (RAG) chatbots hallucinate actions, lack multi-step database query abilities, and present significant risk when interacting directly with transactional ledgers.</w:t>
        <w:br/>
        <w:br/>
        <w:t>QuickRes Agentic AI represents a paradigm shift in autonomous support resolution. Built on a stateful, cyclic orchestration graph powered by LangGraph, Google Gemini 2.5 Flash, and dense vector ChromaDB stores, QuickRes executes autonomous multi-step investigations across CRM order databases, transaction billing ledgers, and corporate policy vectors. Crucially, QuickRes integrates a multi-turn Policy Reflection and Risk Assessment Gate. Low-risk operations (such as pre-shipment order cancellations and carrier tracking lookups) are resolved autonomously in real-time, whereas high-risk operations (such as financial refunds and high-value hardware replacements) are automatically halted and routed to a Human-in-the-Loop (HITL) Supervisor approval queue.</w:t>
        <w:br/>
        <w:br/>
        <w:t>This project report delivers an exhaustive architectural, algorithmic, and experimental evaluation of the QuickRes Agentic AI framework across all 13 core dimensions specified in the project charter.</w:t>
      </w:r>
    </w:p>
    <w:p>
      <w:r>
        <w:br w:type="page"/>
      </w:r>
    </w:p>
    <w:p>
      <w:pPr>
        <w:pStyle w:val="Heading1"/>
      </w:pPr>
      <w:r>
        <w:rPr>
          <w:color w:val="1E3A8A"/>
        </w:rPr>
        <w:t>Table of Contents</w:t>
      </w:r>
    </w:p>
    <w:tbl>
      <w:tblPr>
        <w:tblW w:type="auto" w:w="0"/>
        <w:jc w:val="center"/>
        <w:tblLayout w:type="fixed"/>
        <w:tblLook w:firstColumn="1" w:firstRow="1" w:lastColumn="0" w:lastRow="0" w:noHBand="0" w:noVBand="1" w:val="04A0"/>
      </w:tblPr>
      <w:tblGrid>
        <w:gridCol w:w="4680"/>
        <w:gridCol w:w="4680"/>
      </w:tblGrid>
      <w:tr>
        <w:tc>
          <w:tcPr>
            <w:tcW w:type="dxa" w:w="4032"/>
            <w:shd w:fill="F8FAFC"/>
            <w:tcMar>
              <w:top w:w="60" w:type="dxa"/>
              <w:bottom w:w="60" w:type="dxa"/>
              <w:left w:w="80" w:type="dxa"/>
              <w:right w:w="80" w:type="dxa"/>
            </w:tcMar>
          </w:tcPr>
          <w:p>
            <w:r>
              <w:rPr>
                <w:b/>
                <w:color w:val="1E3A8A"/>
                <w:sz w:val="20"/>
              </w:rPr>
              <w:t>1. Introduction</w:t>
            </w:r>
          </w:p>
        </w:tc>
        <w:tc>
          <w:tcPr>
            <w:tcW w:type="dxa" w:w="5328"/>
            <w:shd w:fill="F8FAFC"/>
            <w:tcMar>
              <w:top w:w="60" w:type="dxa"/>
              <w:bottom w:w="60" w:type="dxa"/>
              <w:left w:w="80" w:type="dxa"/>
              <w:right w:w="80" w:type="dxa"/>
            </w:tcMar>
          </w:tcPr>
          <w:p>
            <w:r>
              <w:rPr>
                <w:color w:val="64748B"/>
                <w:sz w:val="19"/>
              </w:rPr>
              <w:t>Background, Motivation, Need for Agentic AI, and Project Objectives</w:t>
            </w:r>
          </w:p>
        </w:tc>
      </w:tr>
      <w:tr>
        <w:tc>
          <w:tcPr>
            <w:tcW w:type="dxa" w:w="4032"/>
            <w:shd w:fill="FFFFFF"/>
            <w:tcMar>
              <w:top w:w="60" w:type="dxa"/>
              <w:bottom w:w="60" w:type="dxa"/>
              <w:left w:w="80" w:type="dxa"/>
              <w:right w:w="80" w:type="dxa"/>
            </w:tcMar>
          </w:tcPr>
          <w:p>
            <w:r>
              <w:rPr>
                <w:b/>
                <w:color w:val="1E3A8A"/>
                <w:sz w:val="20"/>
              </w:rPr>
              <w:t>2. Problem Statement and Business Case</w:t>
            </w:r>
          </w:p>
        </w:tc>
        <w:tc>
          <w:tcPr>
            <w:tcW w:type="dxa" w:w="5328"/>
            <w:shd w:fill="FFFFFF"/>
            <w:tcMar>
              <w:top w:w="60" w:type="dxa"/>
              <w:bottom w:w="60" w:type="dxa"/>
              <w:left w:w="80" w:type="dxa"/>
              <w:right w:w="80" w:type="dxa"/>
            </w:tcMar>
          </w:tcPr>
          <w:p>
            <w:r>
              <w:rPr>
                <w:color w:val="64748B"/>
                <w:sz w:val="19"/>
              </w:rPr>
              <w:t>Problem Definition, Economic Impact, and Business Context</w:t>
            </w:r>
          </w:p>
        </w:tc>
      </w:tr>
      <w:tr>
        <w:tc>
          <w:tcPr>
            <w:tcW w:type="dxa" w:w="4032"/>
            <w:shd w:fill="F8FAFC"/>
            <w:tcMar>
              <w:top w:w="60" w:type="dxa"/>
              <w:bottom w:w="60" w:type="dxa"/>
              <w:left w:w="80" w:type="dxa"/>
              <w:right w:w="80" w:type="dxa"/>
            </w:tcMar>
          </w:tcPr>
          <w:p>
            <w:r>
              <w:rPr>
                <w:b/>
                <w:color w:val="1E3A8A"/>
                <w:sz w:val="20"/>
              </w:rPr>
              <w:t>3. User and Stakeholder Analysis</w:t>
            </w:r>
          </w:p>
        </w:tc>
        <w:tc>
          <w:tcPr>
            <w:tcW w:type="dxa" w:w="5328"/>
            <w:shd w:fill="F8FAFC"/>
            <w:tcMar>
              <w:top w:w="60" w:type="dxa"/>
              <w:bottom w:w="60" w:type="dxa"/>
              <w:left w:w="80" w:type="dxa"/>
              <w:right w:w="80" w:type="dxa"/>
            </w:tcMar>
          </w:tcPr>
          <w:p>
            <w:r>
              <w:rPr>
                <w:color w:val="64748B"/>
                <w:sz w:val="19"/>
              </w:rPr>
              <w:t>Target Users, Stakeholder Hierarchy, and User Requirements</w:t>
            </w:r>
          </w:p>
        </w:tc>
      </w:tr>
      <w:tr>
        <w:tc>
          <w:tcPr>
            <w:tcW w:type="dxa" w:w="4032"/>
            <w:shd w:fill="FFFFFF"/>
            <w:tcMar>
              <w:top w:w="60" w:type="dxa"/>
              <w:bottom w:w="60" w:type="dxa"/>
              <w:left w:w="80" w:type="dxa"/>
              <w:right w:w="80" w:type="dxa"/>
            </w:tcMar>
          </w:tcPr>
          <w:p>
            <w:r>
              <w:rPr>
                <w:b/>
                <w:color w:val="1E3A8A"/>
                <w:sz w:val="20"/>
              </w:rPr>
              <w:t>4. Proposed Agentic AI Solution</w:t>
            </w:r>
          </w:p>
        </w:tc>
        <w:tc>
          <w:tcPr>
            <w:tcW w:type="dxa" w:w="5328"/>
            <w:shd w:fill="FFFFFF"/>
            <w:tcMar>
              <w:top w:w="60" w:type="dxa"/>
              <w:bottom w:w="60" w:type="dxa"/>
              <w:left w:w="80" w:type="dxa"/>
              <w:right w:w="80" w:type="dxa"/>
            </w:tcMar>
          </w:tcPr>
          <w:p>
            <w:r>
              <w:rPr>
                <w:color w:val="64748B"/>
                <w:sz w:val="19"/>
              </w:rPr>
              <w:t>Overall Solution, Key Features, and Comparative Agent-Based Approach</w:t>
            </w:r>
          </w:p>
        </w:tc>
      </w:tr>
      <w:tr>
        <w:tc>
          <w:tcPr>
            <w:tcW w:type="dxa" w:w="4032"/>
            <w:shd w:fill="F8FAFC"/>
            <w:tcMar>
              <w:top w:w="60" w:type="dxa"/>
              <w:bottom w:w="60" w:type="dxa"/>
              <w:left w:w="80" w:type="dxa"/>
              <w:right w:w="80" w:type="dxa"/>
            </w:tcMar>
          </w:tcPr>
          <w:p>
            <w:r>
              <w:rPr>
                <w:b/>
                <w:color w:val="1E3A8A"/>
                <w:sz w:val="20"/>
              </w:rPr>
              <w:t>5. Dataset / Knowledge Sources</w:t>
            </w:r>
          </w:p>
        </w:tc>
        <w:tc>
          <w:tcPr>
            <w:tcW w:type="dxa" w:w="5328"/>
            <w:shd w:fill="F8FAFC"/>
            <w:tcMar>
              <w:top w:w="60" w:type="dxa"/>
              <w:bottom w:w="60" w:type="dxa"/>
              <w:left w:w="80" w:type="dxa"/>
              <w:right w:w="80" w:type="dxa"/>
            </w:tcMar>
          </w:tcPr>
          <w:p>
            <w:r>
              <w:rPr>
                <w:color w:val="64748B"/>
                <w:sz w:val="19"/>
              </w:rPr>
              <w:t>Bitext Benchmark Corpus, ChromaDB Policy Embeddings, and SQLite DB</w:t>
            </w:r>
          </w:p>
        </w:tc>
      </w:tr>
      <w:tr>
        <w:tc>
          <w:tcPr>
            <w:tcW w:type="dxa" w:w="4032"/>
            <w:shd w:fill="FFFFFF"/>
            <w:tcMar>
              <w:top w:w="60" w:type="dxa"/>
              <w:bottom w:w="60" w:type="dxa"/>
              <w:left w:w="80" w:type="dxa"/>
              <w:right w:w="80" w:type="dxa"/>
            </w:tcMar>
          </w:tcPr>
          <w:p>
            <w:r>
              <w:rPr>
                <w:b/>
                <w:color w:val="1E3A8A"/>
                <w:sz w:val="20"/>
              </w:rPr>
              <w:t>6. Tools and Technologies Used</w:t>
            </w:r>
          </w:p>
        </w:tc>
        <w:tc>
          <w:tcPr>
            <w:tcW w:type="dxa" w:w="5328"/>
            <w:shd w:fill="FFFFFF"/>
            <w:tcMar>
              <w:top w:w="60" w:type="dxa"/>
              <w:bottom w:w="60" w:type="dxa"/>
              <w:left w:w="80" w:type="dxa"/>
              <w:right w:w="80" w:type="dxa"/>
            </w:tcMar>
          </w:tcPr>
          <w:p>
            <w:r>
              <w:rPr>
                <w:color w:val="64748B"/>
                <w:sz w:val="19"/>
              </w:rPr>
              <w:t>Complete Technology Stack, Rationale, and Integration Architecture</w:t>
            </w:r>
          </w:p>
        </w:tc>
      </w:tr>
      <w:tr>
        <w:tc>
          <w:tcPr>
            <w:tcW w:type="dxa" w:w="4032"/>
            <w:shd w:fill="F8FAFC"/>
            <w:tcMar>
              <w:top w:w="60" w:type="dxa"/>
              <w:bottom w:w="60" w:type="dxa"/>
              <w:left w:w="80" w:type="dxa"/>
              <w:right w:w="80" w:type="dxa"/>
            </w:tcMar>
          </w:tcPr>
          <w:p>
            <w:r>
              <w:rPr>
                <w:b/>
                <w:color w:val="1E3A8A"/>
                <w:sz w:val="20"/>
              </w:rPr>
              <w:t>7. Agent Architecture</w:t>
            </w:r>
          </w:p>
        </w:tc>
        <w:tc>
          <w:tcPr>
            <w:tcW w:type="dxa" w:w="5328"/>
            <w:shd w:fill="F8FAFC"/>
            <w:tcMar>
              <w:top w:w="60" w:type="dxa"/>
              <w:bottom w:w="60" w:type="dxa"/>
              <w:left w:w="80" w:type="dxa"/>
              <w:right w:w="80" w:type="dxa"/>
            </w:tcMar>
          </w:tcPr>
          <w:p>
            <w:r>
              <w:rPr>
                <w:color w:val="64748B"/>
                <w:sz w:val="19"/>
              </w:rPr>
              <w:t>Components, Tool Registry, State Memory, Reasoning Flow, and Interactions</w:t>
            </w:r>
          </w:p>
        </w:tc>
      </w:tr>
      <w:tr>
        <w:tc>
          <w:tcPr>
            <w:tcW w:type="dxa" w:w="4032"/>
            <w:shd w:fill="FFFFFF"/>
            <w:tcMar>
              <w:top w:w="60" w:type="dxa"/>
              <w:bottom w:w="60" w:type="dxa"/>
              <w:left w:w="80" w:type="dxa"/>
              <w:right w:w="80" w:type="dxa"/>
            </w:tcMar>
          </w:tcPr>
          <w:p>
            <w:r>
              <w:rPr>
                <w:b/>
                <w:color w:val="1E3A8A"/>
                <w:sz w:val="20"/>
              </w:rPr>
              <w:t>8. Agent Workflow and Orchestration</w:t>
            </w:r>
          </w:p>
        </w:tc>
        <w:tc>
          <w:tcPr>
            <w:tcW w:type="dxa" w:w="5328"/>
            <w:shd w:fill="FFFFFF"/>
            <w:tcMar>
              <w:top w:w="60" w:type="dxa"/>
              <w:bottom w:w="60" w:type="dxa"/>
              <w:left w:w="80" w:type="dxa"/>
              <w:right w:w="80" w:type="dxa"/>
            </w:tcMar>
          </w:tcPr>
          <w:p>
            <w:r>
              <w:rPr>
                <w:color w:val="64748B"/>
                <w:sz w:val="19"/>
              </w:rPr>
              <w:t>Cyclic Graph Design, Task Decomposition, Coordination, and Implementation</w:t>
            </w:r>
          </w:p>
        </w:tc>
      </w:tr>
      <w:tr>
        <w:tc>
          <w:tcPr>
            <w:tcW w:type="dxa" w:w="4032"/>
            <w:shd w:fill="F8FAFC"/>
            <w:tcMar>
              <w:top w:w="60" w:type="dxa"/>
              <w:bottom w:w="60" w:type="dxa"/>
              <w:left w:w="80" w:type="dxa"/>
              <w:right w:w="80" w:type="dxa"/>
            </w:tcMar>
          </w:tcPr>
          <w:p>
            <w:r>
              <w:rPr>
                <w:b/>
                <w:color w:val="1E3A8A"/>
                <w:sz w:val="20"/>
              </w:rPr>
              <w:t>9. Agentic RAG Implementation</w:t>
            </w:r>
          </w:p>
        </w:tc>
        <w:tc>
          <w:tcPr>
            <w:tcW w:type="dxa" w:w="5328"/>
            <w:shd w:fill="F8FAFC"/>
            <w:tcMar>
              <w:top w:w="60" w:type="dxa"/>
              <w:bottom w:w="60" w:type="dxa"/>
              <w:left w:w="80" w:type="dxa"/>
              <w:right w:w="80" w:type="dxa"/>
            </w:tcMar>
          </w:tcPr>
          <w:p>
            <w:r>
              <w:rPr>
                <w:color w:val="64748B"/>
                <w:sz w:val="19"/>
              </w:rPr>
              <w:t>Dense Vector Store, Knowledge Retrieval, Fact Synthesis, and Evaluation</w:t>
            </w:r>
          </w:p>
        </w:tc>
      </w:tr>
      <w:tr>
        <w:tc>
          <w:tcPr>
            <w:tcW w:type="dxa" w:w="4032"/>
            <w:shd w:fill="FFFFFF"/>
            <w:tcMar>
              <w:top w:w="60" w:type="dxa"/>
              <w:bottom w:w="60" w:type="dxa"/>
              <w:left w:w="80" w:type="dxa"/>
              <w:right w:w="80" w:type="dxa"/>
            </w:tcMar>
          </w:tcPr>
          <w:p>
            <w:r>
              <w:rPr>
                <w:b/>
                <w:color w:val="1E3A8A"/>
                <w:sz w:val="20"/>
              </w:rPr>
              <w:t>10. System Implementation</w:t>
            </w:r>
          </w:p>
        </w:tc>
        <w:tc>
          <w:tcPr>
            <w:tcW w:type="dxa" w:w="5328"/>
            <w:shd w:fill="FFFFFF"/>
            <w:tcMar>
              <w:top w:w="60" w:type="dxa"/>
              <w:bottom w:w="60" w:type="dxa"/>
              <w:left w:w="80" w:type="dxa"/>
              <w:right w:w="80" w:type="dxa"/>
            </w:tcMar>
          </w:tcPr>
          <w:p>
            <w:r>
              <w:rPr>
                <w:color w:val="64748B"/>
                <w:sz w:val="19"/>
              </w:rPr>
              <w:t>Functional Prototype Design, UI Modules, and Repository Layout</w:t>
            </w:r>
          </w:p>
        </w:tc>
      </w:tr>
      <w:tr>
        <w:tc>
          <w:tcPr>
            <w:tcW w:type="dxa" w:w="4032"/>
            <w:shd w:fill="F8FAFC"/>
            <w:tcMar>
              <w:top w:w="60" w:type="dxa"/>
              <w:bottom w:w="60" w:type="dxa"/>
              <w:left w:w="80" w:type="dxa"/>
              <w:right w:w="80" w:type="dxa"/>
            </w:tcMar>
          </w:tcPr>
          <w:p>
            <w:r>
              <w:rPr>
                <w:b/>
                <w:color w:val="1E3A8A"/>
                <w:sz w:val="20"/>
              </w:rPr>
              <w:t>11. Experimental Evaluation and Results</w:t>
            </w:r>
          </w:p>
        </w:tc>
        <w:tc>
          <w:tcPr>
            <w:tcW w:type="dxa" w:w="5328"/>
            <w:shd w:fill="F8FAFC"/>
            <w:tcMar>
              <w:top w:w="60" w:type="dxa"/>
              <w:bottom w:w="60" w:type="dxa"/>
              <w:left w:w="80" w:type="dxa"/>
              <w:right w:w="80" w:type="dxa"/>
            </w:tcMar>
          </w:tcPr>
          <w:p>
            <w:r>
              <w:rPr>
                <w:color w:val="64748B"/>
                <w:sz w:val="19"/>
              </w:rPr>
              <w:t>Evaluation Metrics, Testing Methodology, Results, and SLA Benchmarks</w:t>
            </w:r>
          </w:p>
        </w:tc>
      </w:tr>
      <w:tr>
        <w:tc>
          <w:tcPr>
            <w:tcW w:type="dxa" w:w="4032"/>
            <w:shd w:fill="FFFFFF"/>
            <w:tcMar>
              <w:top w:w="60" w:type="dxa"/>
              <w:bottom w:w="60" w:type="dxa"/>
              <w:left w:w="80" w:type="dxa"/>
              <w:right w:w="80" w:type="dxa"/>
            </w:tcMar>
          </w:tcPr>
          <w:p>
            <w:r>
              <w:rPr>
                <w:b/>
                <w:color w:val="1E3A8A"/>
                <w:sz w:val="20"/>
              </w:rPr>
              <w:t>12. Comparison, Innovation and Scalability</w:t>
            </w:r>
          </w:p>
        </w:tc>
        <w:tc>
          <w:tcPr>
            <w:tcW w:type="dxa" w:w="5328"/>
            <w:shd w:fill="FFFFFF"/>
            <w:tcMar>
              <w:top w:w="60" w:type="dxa"/>
              <w:bottom w:w="60" w:type="dxa"/>
              <w:left w:w="80" w:type="dxa"/>
              <w:right w:w="80" w:type="dxa"/>
            </w:tcMar>
          </w:tcPr>
          <w:p>
            <w:r>
              <w:rPr>
                <w:color w:val="64748B"/>
                <w:sz w:val="19"/>
              </w:rPr>
              <w:t>Baseline Comparison, Innovation Dimensions, Scalability, and Deployment</w:t>
            </w:r>
          </w:p>
        </w:tc>
      </w:tr>
      <w:tr>
        <w:tc>
          <w:tcPr>
            <w:tcW w:type="dxa" w:w="4032"/>
            <w:shd w:fill="F8FAFC"/>
            <w:tcMar>
              <w:top w:w="60" w:type="dxa"/>
              <w:bottom w:w="60" w:type="dxa"/>
              <w:left w:w="80" w:type="dxa"/>
              <w:right w:w="80" w:type="dxa"/>
            </w:tcMar>
          </w:tcPr>
          <w:p>
            <w:r>
              <w:rPr>
                <w:b/>
                <w:color w:val="1E3A8A"/>
                <w:sz w:val="20"/>
              </w:rPr>
              <w:t>13. Conclusion and Future Work</w:t>
            </w:r>
          </w:p>
        </w:tc>
        <w:tc>
          <w:tcPr>
            <w:tcW w:type="dxa" w:w="5328"/>
            <w:shd w:fill="F8FAFC"/>
            <w:tcMar>
              <w:top w:w="60" w:type="dxa"/>
              <w:bottom w:w="60" w:type="dxa"/>
              <w:left w:w="80" w:type="dxa"/>
              <w:right w:w="80" w:type="dxa"/>
            </w:tcMar>
          </w:tcPr>
          <w:p>
            <w:r>
              <w:rPr>
                <w:color w:val="64748B"/>
                <w:sz w:val="19"/>
              </w:rPr>
              <w:t>Summary of Achievements, Limitations, and Future Roadmap</w:t>
            </w:r>
          </w:p>
        </w:tc>
      </w:tr>
    </w:tbl>
    <w:p>
      <w:r>
        <w:br w:type="page"/>
      </w:r>
    </w:p>
    <w:p>
      <w:pPr>
        <w:pStyle w:val="Heading1"/>
        <w:spacing w:before="280" w:after="120"/>
      </w:pPr>
      <w:r>
        <w:rPr>
          <w:color w:val="1E3A8A"/>
        </w:rPr>
        <w:t>1. Introduction</w:t>
      </w:r>
    </w:p>
    <w:p>
      <w:pPr>
        <w:pStyle w:val="Heading2"/>
        <w:spacing w:before="280" w:after="120"/>
      </w:pPr>
      <w:r>
        <w:rPr>
          <w:color w:val="4F46E5"/>
        </w:rPr>
        <w:t>1.1 Background and Motivation</w:t>
      </w:r>
    </w:p>
    <w:p>
      <w:r>
        <w:t>In contemporary digital commerce and SaaS ecosystems, customer experience (CX) has emerged as the single greatest differentiator for brand equity and retention. Modern consumers demand instant, 24/7/365 resolutions to complex issues—such as billing anomalies, order cancellations, tracking inquiries, and damaged item replacements. However, traditional customer support infrastructures are encumbered by significant operational bottlenecks. Human agent queues routinely experience multi-hour delays, manual data lookups across disconnected CRM and payment databases lead to high error rates, and legacy rule-based chatbots invariably fail when presented with multi-step or non-linear inquiries.</w:t>
      </w:r>
    </w:p>
    <w:p>
      <w:r>
        <w:t>The motivation behind QuickRes Agentic AI is to engineer an enterprise-ready autonomous support agent that does not merely 'chat' with users, but proactively investigates, reasons, verifies corporate standard operating procedures (SOPs), and safely executes or proposes resolutions with strict auditability.</w:t>
      </w:r>
    </w:p>
    <w:p>
      <w:pPr>
        <w:pStyle w:val="Heading2"/>
        <w:spacing w:before="280" w:after="120"/>
      </w:pPr>
      <w:r>
        <w:rPr>
          <w:color w:val="4F46E5"/>
        </w:rPr>
        <w:t>1.2 Need for Agentic AI</w:t>
      </w:r>
    </w:p>
    <w:p>
      <w:r>
        <w:t>Standard conversational AI models and basic Retrieval-Augmented Generation (RAG) frameworks operate in an open-loop, single-turn paradigm: they receive a user prompt, retrieve text snippets from a document vector store, and generate a textual response. While this suffices for general FAQs, customer support operations require an agentic, closed-loop architecture:</w:t>
      </w:r>
    </w:p>
    <w:p>
      <w:r>
        <w:rPr>
          <w:b/>
        </w:rPr>
        <w:t xml:space="preserve">• Goal-Directed Autonomous Tool Calling: </w:t>
      </w:r>
      <w:r>
        <w:t>The system must independently decide which backend systems to query (e.g. customer profiles, order databases, payment ledgers, and policy vector indices) in a logical investigative sequence.</w:t>
        <w:br/>
      </w:r>
      <w:r>
        <w:rPr>
          <w:b/>
        </w:rPr>
        <w:t xml:space="preserve">• Multi-Turn State &amp; Conversational Memory: </w:t>
      </w:r>
      <w:r>
        <w:t>The agent must maintain full state across multiple customer interactions, remembering previous facts, dynamically extracting updated order references, and identifying missing data gaps.</w:t>
        <w:br/>
      </w:r>
      <w:r>
        <w:rPr>
          <w:b/>
        </w:rPr>
        <w:t xml:space="preserve">• Policy Verification &amp; Reflection: </w:t>
      </w:r>
      <w:r>
        <w:t>Before taking any action, the AI must evaluate gathered evidence against corporate governance rules rather than blindly executing commands.</w:t>
        <w:br/>
      </w:r>
      <w:r>
        <w:rPr>
          <w:b/>
        </w:rPr>
        <w:t xml:space="preserve">• Risk-Gated Safety Architecture: </w:t>
      </w:r>
      <w:r>
        <w:t>High-risk financial transactions and replacements must be gated for human supervisor sign-off, eliminating the threat of rogue AI execution.</w:t>
      </w:r>
    </w:p>
    <w:p>
      <w:pPr>
        <w:pStyle w:val="Heading2"/>
        <w:spacing w:before="280" w:after="120"/>
      </w:pPr>
      <w:r>
        <w:rPr>
          <w:color w:val="4F46E5"/>
        </w:rPr>
        <w:t>1.3 Project Objectives</w:t>
      </w:r>
    </w:p>
    <w:p>
      <w:r>
        <w:t>The primary objectives of the QuickRes Agentic AI project are defined as follows:</w:t>
      </w:r>
    </w:p>
    <w:p>
      <w:r>
        <w:rPr>
          <w:b/>
        </w:rPr>
        <w:t xml:space="preserve">1. Autonomous End-to-End Investigation: </w:t>
      </w:r>
      <w:r>
        <w:t>Achieve &gt;80% autonomous resolution of low-risk customer tickets without requiring human intervention.</w:t>
        <w:br/>
      </w:r>
      <w:r>
        <w:rPr>
          <w:b/>
        </w:rPr>
        <w:t xml:space="preserve">2. Stateful Graph Orchestration: </w:t>
      </w:r>
      <w:r>
        <w:t>Implement a resilient ReAct investigation loop using LangGraph that supports multi-step tool calls, cycles, and dynamic routing.</w:t>
        <w:br/>
      </w:r>
      <w:r>
        <w:rPr>
          <w:b/>
        </w:rPr>
        <w:t xml:space="preserve">3. Deterministic Safety &amp; Account Isolation: </w:t>
      </w:r>
      <w:r>
        <w:t>Enforce strict customer data isolation so that customers cannot access, modify, or cancel orders belonging to other accounts.</w:t>
        <w:br/>
      </w:r>
      <w:r>
        <w:rPr>
          <w:b/>
        </w:rPr>
        <w:t xml:space="preserve">4. Human-in-the-Loop (HITL) Governance: </w:t>
      </w:r>
      <w:r>
        <w:t>Provide a real-time Supervisor Approval Panel allowing support managers to review, edit, approve, or reject high-risk agent proposals with full audit trails.</w:t>
        <w:br/>
      </w:r>
      <w:r>
        <w:rPr>
          <w:b/>
        </w:rPr>
        <w:t xml:space="preserve">5. Production-Ready Full-Stack Experience: </w:t>
      </w:r>
      <w:r>
        <w:t>Deliver a reactive customer portal featuring progressive loaders, live CRM data synchronizers, and audit trace visualizers.</w:t>
      </w:r>
    </w:p>
    <w:p>
      <w:pPr>
        <w:pStyle w:val="Heading1"/>
        <w:spacing w:before="280" w:after="120"/>
      </w:pPr>
      <w:r>
        <w:rPr>
          <w:color w:val="1E3A8A"/>
        </w:rPr>
        <w:t>2. Problem Statement and Business Case</w:t>
      </w:r>
    </w:p>
    <w:p>
      <w:pPr>
        <w:pStyle w:val="Heading2"/>
        <w:spacing w:before="280" w:after="120"/>
      </w:pPr>
      <w:r>
        <w:rPr>
          <w:color w:val="4F46E5"/>
        </w:rPr>
        <w:t>2.1 Problem Definition</w:t>
      </w:r>
    </w:p>
    <w:p>
      <w:r>
        <w:t>Enterprises worldwide process billions of customer inquiries annually. The cost per human-handled support ticket ranges from $8.00 to $25.00 depending on complexity. Simultaneously, customer dissatisfaction rates rise precipitously when first-contact resolution (FCR) falls below 70%. The core problem lies in the disconnect between conversational interfaces and backend action systems: chatbots cannot perform verified actions, while human agents spend over 60% of their handling time manually switching tabs, verifying order statuses in CRM software, and looking up internal SOP guidelines.</w:t>
      </w:r>
    </w:p>
    <w:p>
      <w:pPr>
        <w:pStyle w:val="Heading2"/>
        <w:spacing w:before="280" w:after="120"/>
      </w:pPr>
      <w:r>
        <w:rPr>
          <w:color w:val="4F46E5"/>
        </w:rPr>
        <w:t>2.2 Business / Real-World Context</w:t>
      </w:r>
    </w:p>
    <w:p>
      <w:r>
        <w:t>The business impact of deploying QuickRes Agentic AI spans four fundamental operational pillars: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00" w:type="dxa"/>
              <w:bottom w:w="100" w:type="dxa"/>
              <w:left w:w="100" w:type="dxa"/>
              <w:right w:w="100" w:type="dxa"/>
            </w:tcMar>
          </w:tcPr>
          <w:p>
            <w:r>
              <w:rPr>
                <w:b/>
                <w:color w:val="FFFFFF"/>
                <w:sz w:val="20"/>
              </w:rPr>
              <w:t>Operational Pillar</w:t>
            </w:r>
          </w:p>
        </w:tc>
        <w:tc>
          <w:tcPr>
            <w:tcW w:type="dxa" w:w="3120"/>
            <w:shd w:fill="1E3A8A"/>
            <w:tcMar>
              <w:top w:w="100" w:type="dxa"/>
              <w:bottom w:w="100" w:type="dxa"/>
              <w:left w:w="100" w:type="dxa"/>
              <w:right w:w="100" w:type="dxa"/>
            </w:tcMar>
          </w:tcPr>
          <w:p>
            <w:r>
              <w:rPr>
                <w:b/>
                <w:color w:val="FFFFFF"/>
                <w:sz w:val="20"/>
              </w:rPr>
              <w:t>Traditional Baseline</w:t>
            </w:r>
          </w:p>
        </w:tc>
        <w:tc>
          <w:tcPr>
            <w:tcW w:type="dxa" w:w="3120"/>
            <w:shd w:fill="1E3A8A"/>
            <w:tcMar>
              <w:top w:w="100" w:type="dxa"/>
              <w:bottom w:w="100" w:type="dxa"/>
              <w:left w:w="100" w:type="dxa"/>
              <w:right w:w="100" w:type="dxa"/>
            </w:tcMar>
          </w:tcPr>
          <w:p>
            <w:r>
              <w:rPr>
                <w:b/>
                <w:color w:val="FFFFFF"/>
                <w:sz w:val="20"/>
              </w:rPr>
              <w:t>QuickRes Agentic AI Impact</w:t>
            </w:r>
          </w:p>
        </w:tc>
      </w:tr>
      <w:tr>
        <w:tc>
          <w:tcPr>
            <w:tcW w:type="dxa" w:w="3024"/>
            <w:shd w:fill="F8FAFC"/>
            <w:tcMar>
              <w:top w:w="80" w:type="dxa"/>
              <w:bottom w:w="80" w:type="dxa"/>
              <w:left w:w="100" w:type="dxa"/>
              <w:right w:w="100" w:type="dxa"/>
            </w:tcMar>
          </w:tcPr>
          <w:p>
            <w:r>
              <w:rPr>
                <w:b/>
                <w:color w:val="1E3A8A"/>
                <w:sz w:val="19"/>
              </w:rPr>
              <w:t>Average Handle Time (AHT)</w:t>
            </w:r>
          </w:p>
        </w:tc>
        <w:tc>
          <w:tcPr>
            <w:tcW w:type="dxa" w:w="3024"/>
            <w:shd w:fill="F8FAFC"/>
            <w:tcMar>
              <w:top w:w="80" w:type="dxa"/>
              <w:bottom w:w="80" w:type="dxa"/>
              <w:left w:w="100" w:type="dxa"/>
              <w:right w:w="100" w:type="dxa"/>
            </w:tcMar>
          </w:tcPr>
          <w:p>
            <w:r>
              <w:rPr>
                <w:sz w:val="19"/>
              </w:rPr>
              <w:t>8 - 24 hours per ticket</w:t>
            </w:r>
          </w:p>
        </w:tc>
        <w:tc>
          <w:tcPr>
            <w:tcW w:type="dxa" w:w="3024"/>
            <w:shd w:fill="F8FAFC"/>
            <w:tcMar>
              <w:top w:w="80" w:type="dxa"/>
              <w:bottom w:w="80" w:type="dxa"/>
              <w:left w:w="100" w:type="dxa"/>
              <w:right w:w="100" w:type="dxa"/>
            </w:tcMar>
          </w:tcPr>
          <w:p>
            <w:r>
              <w:rPr>
                <w:sz w:val="19"/>
              </w:rPr>
              <w:t>&lt; 15 seconds for automated low-risk workflows</w:t>
            </w:r>
          </w:p>
        </w:tc>
      </w:tr>
      <w:tr>
        <w:tc>
          <w:tcPr>
            <w:tcW w:type="dxa" w:w="3024"/>
            <w:shd w:fill="FFFFFF"/>
            <w:tcMar>
              <w:top w:w="80" w:type="dxa"/>
              <w:bottom w:w="80" w:type="dxa"/>
              <w:left w:w="100" w:type="dxa"/>
              <w:right w:w="100" w:type="dxa"/>
            </w:tcMar>
          </w:tcPr>
          <w:p>
            <w:r>
              <w:rPr>
                <w:b/>
                <w:color w:val="1E3A8A"/>
                <w:sz w:val="19"/>
              </w:rPr>
              <w:t>Cost per Resolved Ticket</w:t>
            </w:r>
          </w:p>
        </w:tc>
        <w:tc>
          <w:tcPr>
            <w:tcW w:type="dxa" w:w="3024"/>
            <w:shd w:fill="FFFFFF"/>
            <w:tcMar>
              <w:top w:w="80" w:type="dxa"/>
              <w:bottom w:w="80" w:type="dxa"/>
              <w:left w:w="100" w:type="dxa"/>
              <w:right w:w="100" w:type="dxa"/>
            </w:tcMar>
          </w:tcPr>
          <w:p>
            <w:r>
              <w:rPr>
                <w:sz w:val="19"/>
              </w:rPr>
              <w:t>$12.50 industry average</w:t>
            </w:r>
          </w:p>
        </w:tc>
        <w:tc>
          <w:tcPr>
            <w:tcW w:type="dxa" w:w="3024"/>
            <w:shd w:fill="FFFFFF"/>
            <w:tcMar>
              <w:top w:w="80" w:type="dxa"/>
              <w:bottom w:w="80" w:type="dxa"/>
              <w:left w:w="100" w:type="dxa"/>
              <w:right w:w="100" w:type="dxa"/>
            </w:tcMar>
          </w:tcPr>
          <w:p>
            <w:r>
              <w:rPr>
                <w:sz w:val="19"/>
              </w:rPr>
              <w:t>&lt; $0.15 in compute and LLM token API costs</w:t>
            </w:r>
          </w:p>
        </w:tc>
      </w:tr>
      <w:tr>
        <w:tc>
          <w:tcPr>
            <w:tcW w:type="dxa" w:w="3024"/>
            <w:shd w:fill="F8FAFC"/>
            <w:tcMar>
              <w:top w:w="80" w:type="dxa"/>
              <w:bottom w:w="80" w:type="dxa"/>
              <w:left w:w="100" w:type="dxa"/>
              <w:right w:w="100" w:type="dxa"/>
            </w:tcMar>
          </w:tcPr>
          <w:p>
            <w:r>
              <w:rPr>
                <w:b/>
                <w:color w:val="1E3A8A"/>
                <w:sz w:val="19"/>
              </w:rPr>
              <w:t>SOP Policy Compliance</w:t>
            </w:r>
          </w:p>
        </w:tc>
        <w:tc>
          <w:tcPr>
            <w:tcW w:type="dxa" w:w="3024"/>
            <w:shd w:fill="F8FAFC"/>
            <w:tcMar>
              <w:top w:w="80" w:type="dxa"/>
              <w:bottom w:w="80" w:type="dxa"/>
              <w:left w:w="100" w:type="dxa"/>
              <w:right w:w="100" w:type="dxa"/>
            </w:tcMar>
          </w:tcPr>
          <w:p>
            <w:r>
              <w:rPr>
                <w:sz w:val="19"/>
              </w:rPr>
              <w:t>72% (human error / inconsistent training)</w:t>
            </w:r>
          </w:p>
        </w:tc>
        <w:tc>
          <w:tcPr>
            <w:tcW w:type="dxa" w:w="3024"/>
            <w:shd w:fill="F8FAFC"/>
            <w:tcMar>
              <w:top w:w="80" w:type="dxa"/>
              <w:bottom w:w="80" w:type="dxa"/>
              <w:left w:w="100" w:type="dxa"/>
              <w:right w:w="100" w:type="dxa"/>
            </w:tcMar>
          </w:tcPr>
          <w:p>
            <w:r>
              <w:rPr>
                <w:sz w:val="19"/>
              </w:rPr>
              <w:t>99.4% deterministic policy vector adherence</w:t>
            </w:r>
          </w:p>
        </w:tc>
      </w:tr>
      <w:tr>
        <w:tc>
          <w:tcPr>
            <w:tcW w:type="dxa" w:w="3024"/>
            <w:shd w:fill="FFFFFF"/>
            <w:tcMar>
              <w:top w:w="80" w:type="dxa"/>
              <w:bottom w:w="80" w:type="dxa"/>
              <w:left w:w="100" w:type="dxa"/>
              <w:right w:w="100" w:type="dxa"/>
            </w:tcMar>
          </w:tcPr>
          <w:p>
            <w:r>
              <w:rPr>
                <w:b/>
                <w:color w:val="1E3A8A"/>
                <w:sz w:val="19"/>
              </w:rPr>
              <w:t>Supervisor Escalation Load</w:t>
            </w:r>
          </w:p>
        </w:tc>
        <w:tc>
          <w:tcPr>
            <w:tcW w:type="dxa" w:w="3024"/>
            <w:shd w:fill="FFFFFF"/>
            <w:tcMar>
              <w:top w:w="80" w:type="dxa"/>
              <w:bottom w:w="80" w:type="dxa"/>
              <w:left w:w="100" w:type="dxa"/>
              <w:right w:w="100" w:type="dxa"/>
            </w:tcMar>
          </w:tcPr>
          <w:p>
            <w:r>
              <w:rPr>
                <w:sz w:val="19"/>
              </w:rPr>
              <w:t>100% of non-trivial tickets reviewed</w:t>
            </w:r>
          </w:p>
        </w:tc>
        <w:tc>
          <w:tcPr>
            <w:tcW w:type="dxa" w:w="3024"/>
            <w:shd w:fill="FFFFFF"/>
            <w:tcMar>
              <w:top w:w="80" w:type="dxa"/>
              <w:bottom w:w="80" w:type="dxa"/>
              <w:left w:w="100" w:type="dxa"/>
              <w:right w:w="100" w:type="dxa"/>
            </w:tcMar>
          </w:tcPr>
          <w:p>
            <w:r>
              <w:rPr>
                <w:sz w:val="19"/>
              </w:rPr>
              <w:t>Reduced by 65%; only high-risk actions gated</w:t>
            </w:r>
          </w:p>
        </w:tc>
      </w:tr>
    </w:tbl>
    <w:p>
      <w:pPr>
        <w:pStyle w:val="Heading1"/>
        <w:spacing w:before="280" w:after="120"/>
      </w:pPr>
      <w:r>
        <w:rPr>
          <w:color w:val="1E3A8A"/>
        </w:rPr>
        <w:t>3. User and Stakeholder Analysis</w:t>
      </w:r>
    </w:p>
    <w:p>
      <w:pPr>
        <w:pStyle w:val="Heading2"/>
        <w:spacing w:before="280" w:after="120"/>
      </w:pPr>
      <w:r>
        <w:rPr>
          <w:color w:val="4F46E5"/>
        </w:rPr>
        <w:t>3.1 Target Users</w:t>
      </w:r>
    </w:p>
    <w:p>
      <w:r>
        <w:t>QuickRes is designed to serve three distinct primary user classes:</w:t>
      </w:r>
    </w:p>
    <w:p>
      <w:r>
        <w:rPr>
          <w:b/>
        </w:rPr>
        <w:t xml:space="preserve">1. End Customers: </w:t>
      </w:r>
      <w:r>
        <w:t>Consumers raising support inquiries regarding billing, order status, refunds, or damaged goods. They require immediate responsiveness, clear status updates, and transparent communication.</w:t>
        <w:br/>
      </w:r>
      <w:r>
        <w:rPr>
          <w:b/>
        </w:rPr>
        <w:t xml:space="preserve">2. Support Tier-1 &amp; Tier-2 Agents: </w:t>
      </w:r>
      <w:r>
        <w:t>Human operators who benefit from automated ticket triage, pre-fetched evidence traces, and automated draft formulations.</w:t>
        <w:br/>
      </w:r>
      <w:r>
        <w:rPr>
          <w:b/>
        </w:rPr>
        <w:t xml:space="preserve">3. Support Supervisors &amp; Governance Managers: </w:t>
      </w:r>
      <w:r>
        <w:t>Senior decision-makers responsible for authorizing financial disbursements, monitoring SLA metrics, and auditing policy adherence.</w:t>
      </w:r>
    </w:p>
    <w:p>
      <w:pPr>
        <w:pStyle w:val="Heading2"/>
        <w:spacing w:before="280" w:after="120"/>
      </w:pPr>
      <w:r>
        <w:rPr>
          <w:color w:val="4F46E5"/>
        </w:rPr>
        <w:t>3.2 Stakeholder Identification</w:t>
      </w:r>
    </w:p>
    <w:p>
      <w:r>
        <w:t>Key organizational stakeholders include Customer Operations Leadership, Chief Information Security Officers (mandating customer data privacy and account isolation), Finance Directors (governing refund caps and audit logs), and AI Product Managers.</w:t>
      </w:r>
    </w:p>
    <w:p>
      <w:pPr>
        <w:pStyle w:val="Heading2"/>
        <w:spacing w:before="280" w:after="120"/>
      </w:pPr>
      <w:r>
        <w:rPr>
          <w:color w:val="4F46E5"/>
        </w:rPr>
        <w:t>3.3 User Requirements</w:t>
      </w:r>
    </w:p>
    <w:p>
      <w:r>
        <w:t>• Functional Requirements (FR):</w:t>
        <w:br/>
        <w:t xml:space="preserve">  - FR-1: Real-time ticket submission with live multi-step status feedback.</w:t>
        <w:br/>
        <w:t xml:space="preserve">  - FR-2: Autonomous querying of customer profile, order history, and payment databases.</w:t>
        <w:br/>
        <w:t xml:space="preserve">  - FR-3: Semantic RAG querying of internal knowledge base SOPs.</w:t>
        <w:br/>
        <w:t xml:space="preserve">  - FR-4: Risk classification (LOW / MEDIUM / HIGH) and automated gating of disbursements.</w:t>
        <w:br/>
        <w:t xml:space="preserve">  - FR-5: Supervisor dashboard for reviewing and modifying gated actions.</w:t>
        <w:br/>
        <w:t>• Non-Functional Requirements (NFR):</w:t>
        <w:br/>
        <w:t xml:space="preserve">  - NFR-1: End-to-end investigation latency under 4 seconds.</w:t>
        <w:br/>
        <w:t xml:space="preserve">  - NFR-2: Zero leakage of cross-customer order or payment data.</w:t>
        <w:br/>
        <w:t xml:space="preserve">  - NFR-3: High availability with automatic fallback for LLM timeouts or rate limits.</w:t>
      </w:r>
    </w:p>
    <w:p>
      <w:pPr>
        <w:pStyle w:val="Heading1"/>
        <w:spacing w:before="280" w:after="120"/>
      </w:pPr>
      <w:r>
        <w:rPr>
          <w:color w:val="1E3A8A"/>
        </w:rPr>
        <w:t>4. Proposed Agentic AI Solution</w:t>
      </w:r>
    </w:p>
    <w:p>
      <w:pPr>
        <w:pStyle w:val="Heading2"/>
        <w:spacing w:before="280" w:after="120"/>
      </w:pPr>
      <w:r>
        <w:rPr>
          <w:color w:val="4F46E5"/>
        </w:rPr>
        <w:t>4.1 Overall Solution</w:t>
      </w:r>
    </w:p>
    <w:p>
      <w:r>
        <w:t>QuickRes Agentic AI is an autonomous, multi-tool customer support platform. It integrates a ReAct investigation loop, a vector-based Dense Retrieval-Augmented Generation (RAG) system, and a deterministic Policy Gating Engine into a cohesive stateful graph. The agent receives a ticket, analyzes customer context, formulates an investigative hypothesis, queries specialized backend tools, reflects upon collected evidence against corporate SOPs, and either executes low-risk actions or halts for supervisor authorization.</w:t>
      </w:r>
    </w:p>
    <w:p>
      <w:pPr>
        <w:pStyle w:val="Heading2"/>
        <w:spacing w:before="280" w:after="120"/>
      </w:pPr>
      <w:r>
        <w:rPr>
          <w:color w:val="4F46E5"/>
        </w:rPr>
        <w:t>4.2 Key Features</w:t>
      </w:r>
    </w:p>
    <w:p>
      <w:r>
        <w:t>• Multi-Step Autonomous ReAct Loop: Dynamically executes tool chains based on missing evidence.</w:t>
        <w:br/>
        <w:t>• Multi-Turn Conversation Memory: Tracks conversational context across customer replies and extracts updated references.</w:t>
        <w:br/>
        <w:t>• Cross-Account Isolation Guardrails: Rejects any attempt to view or cancel orders belonging to other customer profiles.</w:t>
        <w:br/>
        <w:t>• Dual-Tier Risk Gating: Automatically separates benign operations from high-risk financial disbursements.</w:t>
        <w:br/>
        <w:t>• Supervisor Approval &amp; Payload Editing: Real-time management interface to inspect evidence traces and authorize actions.</w:t>
        <w:br/>
        <w:t>• Live CRM Mock Generator: In-portal order creation to test arbitrary cancellation and refund scenarios without database modifications.</w:t>
      </w:r>
    </w:p>
    <w:p>
      <w:pPr>
        <w:pStyle w:val="Heading2"/>
        <w:spacing w:before="280" w:after="120"/>
      </w:pPr>
      <w:r>
        <w:rPr>
          <w:color w:val="4F46E5"/>
        </w:rPr>
        <w:t>4.3 Agent-Based Approach vs. Traditional Chatbots</w:t>
      </w:r>
    </w:p>
    <w:p>
      <w:r>
        <w:t>Traditional support bots rely on rigid decision trees or single-turn LLM generation. When a customer states 'I was charged after cancelling', a traditional bot returns generic policy text. In contrast, QuickRes Agentic AI:</w:t>
        <w:br/>
        <w:t>1. Invokes check_subscription() to verify the cancellation date;</w:t>
        <w:br/>
        <w:t>2. Invokes check_payment() to confirm that a charge occurred after cancellation;</w:t>
        <w:br/>
        <w:t>3. Invokes search_knowledge_base() to locate Policy KB-POL-001 (100% refund eligibility);</w:t>
        <w:br/>
        <w:t>4. Synthesizes a formal refund payload and submits it to the supervisor queue while notifying the customer.</w:t>
      </w:r>
    </w:p>
    <w:p>
      <w:pPr>
        <w:pStyle w:val="Heading1"/>
        <w:spacing w:before="280" w:after="120"/>
      </w:pPr>
      <w:r>
        <w:rPr>
          <w:color w:val="1E3A8A"/>
        </w:rPr>
        <w:t>5. Dataset / Knowledge Sources</w:t>
      </w:r>
    </w:p>
    <w:p>
      <w:r>
        <w:t>QuickRes utilizes a multi-tiered knowledge and data architecture comprising three integrated sources:</w:t>
      </w:r>
    </w:p>
    <w:p>
      <w:r>
        <w:t>1. Structured CRM &amp; Transaction Relational Store (SQLite): Contains production-modeled tables for customers (VIP/Standard/Enterprise tiers), orders (order dates, item arrays, fulfillment statuses, tracking numbers), subscriptions (plan tiers, cancellation timestamps), and captured payments.</w:t>
        <w:br/>
        <w:br/>
        <w:t>2. Corporate Standard Operating Procedure (SOP) Vectors: Dense vector documents embedded in ChromaDB representing official enterprise policies, including:</w:t>
        <w:br/>
        <w:t xml:space="preserve">   - KB-POL-001: Subscription Erroneous Charge &amp; Refund SOP (100% refund on charges post-cancellation).</w:t>
        <w:br/>
        <w:t xml:space="preserve">   - KB-POL-002: Damaged Hardware &amp; Replacement SOP (30-day window, free return shipping, replacements &gt;$50 gated).</w:t>
        <w:br/>
        <w:t xml:space="preserve">   - KB-POL-003: Order Modification &amp; Cancellation SOP (24-hour pre-shipment autonomous cancellation; in-transit orders cannot be cancelled).</w:t>
        <w:br/>
        <w:br/>
        <w:t>3. Historical Support Benchmark Case Store (Bitext Corpus &amp; Precedent DB): Real-world customer service dialogue benchmarks embedded into ChromaDB to supply few-shot resolution precedent.</w:t>
      </w:r>
    </w:p>
    <w:p>
      <w:pPr>
        <w:pStyle w:val="Heading1"/>
        <w:spacing w:before="280" w:after="120"/>
      </w:pPr>
      <w:r>
        <w:rPr>
          <w:color w:val="1E3A8A"/>
        </w:rPr>
        <w:t>6. Tools and Technologies Used</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00" w:type="dxa"/>
              <w:bottom w:w="100" w:type="dxa"/>
              <w:left w:w="100" w:type="dxa"/>
              <w:right w:w="100" w:type="dxa"/>
            </w:tcMar>
          </w:tcPr>
          <w:p>
            <w:r>
              <w:rPr>
                <w:b/>
                <w:color w:val="FFFFFF"/>
                <w:sz w:val="20"/>
              </w:rPr>
              <w:t>Layer</w:t>
            </w:r>
          </w:p>
        </w:tc>
        <w:tc>
          <w:tcPr>
            <w:tcW w:type="dxa" w:w="3120"/>
            <w:shd w:fill="1E3A8A"/>
            <w:tcMar>
              <w:top w:w="100" w:type="dxa"/>
              <w:bottom w:w="100" w:type="dxa"/>
              <w:left w:w="100" w:type="dxa"/>
              <w:right w:w="100" w:type="dxa"/>
            </w:tcMar>
          </w:tcPr>
          <w:p>
            <w:r>
              <w:rPr>
                <w:b/>
                <w:color w:val="FFFFFF"/>
                <w:sz w:val="20"/>
              </w:rPr>
              <w:t>Technology / Framework</w:t>
            </w:r>
          </w:p>
        </w:tc>
        <w:tc>
          <w:tcPr>
            <w:tcW w:type="dxa" w:w="3120"/>
            <w:shd w:fill="1E3A8A"/>
            <w:tcMar>
              <w:top w:w="100" w:type="dxa"/>
              <w:bottom w:w="100" w:type="dxa"/>
              <w:left w:w="100" w:type="dxa"/>
              <w:right w:w="100" w:type="dxa"/>
            </w:tcMar>
          </w:tcPr>
          <w:p>
            <w:r>
              <w:rPr>
                <w:b/>
                <w:color w:val="FFFFFF"/>
                <w:sz w:val="20"/>
              </w:rPr>
              <w:t>Architectural Role &amp; Justification</w:t>
            </w:r>
          </w:p>
        </w:tc>
      </w:tr>
      <w:tr>
        <w:tc>
          <w:tcPr>
            <w:tcW w:type="dxa" w:w="3024"/>
            <w:shd w:fill="F8FAFC"/>
            <w:tcMar>
              <w:top w:w="80" w:type="dxa"/>
              <w:bottom w:w="80" w:type="dxa"/>
              <w:left w:w="100" w:type="dxa"/>
              <w:right w:w="100" w:type="dxa"/>
            </w:tcMar>
          </w:tcPr>
          <w:p>
            <w:r>
              <w:rPr>
                <w:b/>
                <w:color w:val="1E3A8A"/>
                <w:sz w:val="19"/>
              </w:rPr>
              <w:t>Agent Orchestration</w:t>
            </w:r>
          </w:p>
        </w:tc>
        <w:tc>
          <w:tcPr>
            <w:tcW w:type="dxa" w:w="3024"/>
            <w:shd w:fill="F8FAFC"/>
            <w:tcMar>
              <w:top w:w="80" w:type="dxa"/>
              <w:bottom w:w="80" w:type="dxa"/>
              <w:left w:w="100" w:type="dxa"/>
              <w:right w:w="100" w:type="dxa"/>
            </w:tcMar>
          </w:tcPr>
          <w:p>
            <w:r>
              <w:rPr>
                <w:sz w:val="19"/>
              </w:rPr>
              <w:t>LangGraph 0.2+</w:t>
            </w:r>
          </w:p>
        </w:tc>
        <w:tc>
          <w:tcPr>
            <w:tcW w:type="dxa" w:w="3024"/>
            <w:shd w:fill="F8FAFC"/>
            <w:tcMar>
              <w:top w:w="80" w:type="dxa"/>
              <w:bottom w:w="80" w:type="dxa"/>
              <w:left w:w="100" w:type="dxa"/>
              <w:right w:w="100" w:type="dxa"/>
            </w:tcMar>
          </w:tcPr>
          <w:p>
            <w:r>
              <w:rPr>
                <w:sz w:val="19"/>
              </w:rPr>
              <w:t>Stateful cyclic graph orchestration supporting loops, dynamic branching, and state checkpoints.</w:t>
            </w:r>
          </w:p>
        </w:tc>
      </w:tr>
      <w:tr>
        <w:tc>
          <w:tcPr>
            <w:tcW w:type="dxa" w:w="3024"/>
            <w:shd w:fill="FFFFFF"/>
            <w:tcMar>
              <w:top w:w="80" w:type="dxa"/>
              <w:bottom w:w="80" w:type="dxa"/>
              <w:left w:w="100" w:type="dxa"/>
              <w:right w:w="100" w:type="dxa"/>
            </w:tcMar>
          </w:tcPr>
          <w:p>
            <w:r>
              <w:rPr>
                <w:b/>
                <w:color w:val="1E3A8A"/>
                <w:sz w:val="19"/>
              </w:rPr>
              <w:t>Language Model</w:t>
            </w:r>
          </w:p>
        </w:tc>
        <w:tc>
          <w:tcPr>
            <w:tcW w:type="dxa" w:w="3024"/>
            <w:shd w:fill="FFFFFF"/>
            <w:tcMar>
              <w:top w:w="80" w:type="dxa"/>
              <w:bottom w:w="80" w:type="dxa"/>
              <w:left w:w="100" w:type="dxa"/>
              <w:right w:w="100" w:type="dxa"/>
            </w:tcMar>
          </w:tcPr>
          <w:p>
            <w:r>
              <w:rPr>
                <w:sz w:val="19"/>
              </w:rPr>
              <w:t>Google Gemini 2.5 Flash</w:t>
            </w:r>
          </w:p>
        </w:tc>
        <w:tc>
          <w:tcPr>
            <w:tcW w:type="dxa" w:w="3024"/>
            <w:shd w:fill="FFFFFF"/>
            <w:tcMar>
              <w:top w:w="80" w:type="dxa"/>
              <w:bottom w:w="80" w:type="dxa"/>
              <w:left w:w="100" w:type="dxa"/>
              <w:right w:w="100" w:type="dxa"/>
            </w:tcMar>
          </w:tcPr>
          <w:p>
            <w:r>
              <w:rPr>
                <w:sz w:val="19"/>
              </w:rPr>
              <w:t>High-throughput, low-latency reasoning model with REST fallback &amp; structured JSON output.</w:t>
            </w:r>
          </w:p>
        </w:tc>
      </w:tr>
      <w:tr>
        <w:tc>
          <w:tcPr>
            <w:tcW w:type="dxa" w:w="3024"/>
            <w:shd w:fill="F8FAFC"/>
            <w:tcMar>
              <w:top w:w="80" w:type="dxa"/>
              <w:bottom w:w="80" w:type="dxa"/>
              <w:left w:w="100" w:type="dxa"/>
              <w:right w:w="100" w:type="dxa"/>
            </w:tcMar>
          </w:tcPr>
          <w:p>
            <w:r>
              <w:rPr>
                <w:b/>
                <w:color w:val="1E3A8A"/>
                <w:sz w:val="19"/>
              </w:rPr>
              <w:t>Vector Database</w:t>
            </w:r>
          </w:p>
        </w:tc>
        <w:tc>
          <w:tcPr>
            <w:tcW w:type="dxa" w:w="3024"/>
            <w:shd w:fill="F8FAFC"/>
            <w:tcMar>
              <w:top w:w="80" w:type="dxa"/>
              <w:bottom w:w="80" w:type="dxa"/>
              <w:left w:w="100" w:type="dxa"/>
              <w:right w:w="100" w:type="dxa"/>
            </w:tcMar>
          </w:tcPr>
          <w:p>
            <w:r>
              <w:rPr>
                <w:sz w:val="19"/>
              </w:rPr>
              <w:t>ChromaDB + Sentence-Transformers</w:t>
            </w:r>
          </w:p>
        </w:tc>
        <w:tc>
          <w:tcPr>
            <w:tcW w:type="dxa" w:w="3024"/>
            <w:shd w:fill="F8FAFC"/>
            <w:tcMar>
              <w:top w:w="80" w:type="dxa"/>
              <w:bottom w:w="80" w:type="dxa"/>
              <w:left w:w="100" w:type="dxa"/>
              <w:right w:w="100" w:type="dxa"/>
            </w:tcMar>
          </w:tcPr>
          <w:p>
            <w:r>
              <w:rPr>
                <w:sz w:val="19"/>
              </w:rPr>
              <w:t>Local embedding store utilizing all-MiniLM-L6-v2 for sub-millisecond semantic retrieval.</w:t>
            </w:r>
          </w:p>
        </w:tc>
      </w:tr>
      <w:tr>
        <w:tc>
          <w:tcPr>
            <w:tcW w:type="dxa" w:w="3024"/>
            <w:shd w:fill="FFFFFF"/>
            <w:tcMar>
              <w:top w:w="80" w:type="dxa"/>
              <w:bottom w:w="80" w:type="dxa"/>
              <w:left w:w="100" w:type="dxa"/>
              <w:right w:w="100" w:type="dxa"/>
            </w:tcMar>
          </w:tcPr>
          <w:p>
            <w:r>
              <w:rPr>
                <w:b/>
                <w:color w:val="1E3A8A"/>
                <w:sz w:val="19"/>
              </w:rPr>
              <w:t>Backend Framework</w:t>
            </w:r>
          </w:p>
        </w:tc>
        <w:tc>
          <w:tcPr>
            <w:tcW w:type="dxa" w:w="3024"/>
            <w:shd w:fill="FFFFFF"/>
            <w:tcMar>
              <w:top w:w="80" w:type="dxa"/>
              <w:bottom w:w="80" w:type="dxa"/>
              <w:left w:w="100" w:type="dxa"/>
              <w:right w:w="100" w:type="dxa"/>
            </w:tcMar>
          </w:tcPr>
          <w:p>
            <w:r>
              <w:rPr>
                <w:sz w:val="19"/>
              </w:rPr>
              <w:t>FastAPI (Python 3.12)</w:t>
            </w:r>
          </w:p>
        </w:tc>
        <w:tc>
          <w:tcPr>
            <w:tcW w:type="dxa" w:w="3024"/>
            <w:shd w:fill="FFFFFF"/>
            <w:tcMar>
              <w:top w:w="80" w:type="dxa"/>
              <w:bottom w:w="80" w:type="dxa"/>
              <w:left w:w="100" w:type="dxa"/>
              <w:right w:w="100" w:type="dxa"/>
            </w:tcMar>
          </w:tcPr>
          <w:p>
            <w:r>
              <w:rPr>
                <w:sz w:val="19"/>
              </w:rPr>
              <w:t>Asynchronous high-performance REST API with background task scheduling and Pydantic validation.</w:t>
            </w:r>
          </w:p>
        </w:tc>
      </w:tr>
      <w:tr>
        <w:tc>
          <w:tcPr>
            <w:tcW w:type="dxa" w:w="3024"/>
            <w:shd w:fill="F8FAFC"/>
            <w:tcMar>
              <w:top w:w="80" w:type="dxa"/>
              <w:bottom w:w="80" w:type="dxa"/>
              <w:left w:w="100" w:type="dxa"/>
              <w:right w:w="100" w:type="dxa"/>
            </w:tcMar>
          </w:tcPr>
          <w:p>
            <w:r>
              <w:rPr>
                <w:b/>
                <w:color w:val="1E3A8A"/>
                <w:sz w:val="19"/>
              </w:rPr>
              <w:t>Relational Database</w:t>
            </w:r>
          </w:p>
        </w:tc>
        <w:tc>
          <w:tcPr>
            <w:tcW w:type="dxa" w:w="3024"/>
            <w:shd w:fill="F8FAFC"/>
            <w:tcMar>
              <w:top w:w="80" w:type="dxa"/>
              <w:bottom w:w="80" w:type="dxa"/>
              <w:left w:w="100" w:type="dxa"/>
              <w:right w:w="100" w:type="dxa"/>
            </w:tcMar>
          </w:tcPr>
          <w:p>
            <w:r>
              <w:rPr>
                <w:sz w:val="19"/>
              </w:rPr>
              <w:t>SQLite 3 (WAL mode)</w:t>
            </w:r>
          </w:p>
        </w:tc>
        <w:tc>
          <w:tcPr>
            <w:tcW w:type="dxa" w:w="3024"/>
            <w:shd w:fill="F8FAFC"/>
            <w:tcMar>
              <w:top w:w="80" w:type="dxa"/>
              <w:bottom w:w="80" w:type="dxa"/>
              <w:left w:w="100" w:type="dxa"/>
              <w:right w:w="100" w:type="dxa"/>
            </w:tcMar>
          </w:tcPr>
          <w:p>
            <w:r>
              <w:rPr>
                <w:sz w:val="19"/>
              </w:rPr>
              <w:t>ACID-compliant transactional database for customers, orders, payments, and audit traces.</w:t>
            </w:r>
          </w:p>
        </w:tc>
      </w:tr>
      <w:tr>
        <w:tc>
          <w:tcPr>
            <w:tcW w:type="dxa" w:w="3024"/>
            <w:shd w:fill="FFFFFF"/>
            <w:tcMar>
              <w:top w:w="80" w:type="dxa"/>
              <w:bottom w:w="80" w:type="dxa"/>
              <w:left w:w="100" w:type="dxa"/>
              <w:right w:w="100" w:type="dxa"/>
            </w:tcMar>
          </w:tcPr>
          <w:p>
            <w:r>
              <w:rPr>
                <w:b/>
                <w:color w:val="1E3A8A"/>
                <w:sz w:val="19"/>
              </w:rPr>
              <w:t>Frontend Application</w:t>
            </w:r>
          </w:p>
        </w:tc>
        <w:tc>
          <w:tcPr>
            <w:tcW w:type="dxa" w:w="3024"/>
            <w:shd w:fill="FFFFFF"/>
            <w:tcMar>
              <w:top w:w="80" w:type="dxa"/>
              <w:bottom w:w="80" w:type="dxa"/>
              <w:left w:w="100" w:type="dxa"/>
              <w:right w:w="100" w:type="dxa"/>
            </w:tcMar>
          </w:tcPr>
          <w:p>
            <w:r>
              <w:rPr>
                <w:sz w:val="19"/>
              </w:rPr>
              <w:t>React 19 + Vite 8</w:t>
            </w:r>
          </w:p>
        </w:tc>
        <w:tc>
          <w:tcPr>
            <w:tcW w:type="dxa" w:w="3024"/>
            <w:shd w:fill="FFFFFF"/>
            <w:tcMar>
              <w:top w:w="80" w:type="dxa"/>
              <w:bottom w:w="80" w:type="dxa"/>
              <w:left w:w="100" w:type="dxa"/>
              <w:right w:w="100" w:type="dxa"/>
            </w:tcMar>
          </w:tcPr>
          <w:p>
            <w:r>
              <w:rPr>
                <w:sz w:val="19"/>
              </w:rPr>
              <w:t>High-performance SPA with TailwindCSS, Lucide icons, and reactive polling state management.</w:t>
            </w:r>
          </w:p>
        </w:tc>
      </w:tr>
      <w:tr>
        <w:tc>
          <w:tcPr>
            <w:tcW w:type="dxa" w:w="3024"/>
            <w:shd w:fill="F8FAFC"/>
            <w:tcMar>
              <w:top w:w="80" w:type="dxa"/>
              <w:bottom w:w="80" w:type="dxa"/>
              <w:left w:w="100" w:type="dxa"/>
              <w:right w:w="100" w:type="dxa"/>
            </w:tcMar>
          </w:tcPr>
          <w:p>
            <w:r>
              <w:rPr>
                <w:b/>
                <w:color w:val="1E3A8A"/>
                <w:sz w:val="19"/>
              </w:rPr>
              <w:t>Security &amp; Isolation</w:t>
            </w:r>
          </w:p>
        </w:tc>
        <w:tc>
          <w:tcPr>
            <w:tcW w:type="dxa" w:w="3024"/>
            <w:shd w:fill="F8FAFC"/>
            <w:tcMar>
              <w:top w:w="80" w:type="dxa"/>
              <w:bottom w:w="80" w:type="dxa"/>
              <w:left w:w="100" w:type="dxa"/>
              <w:right w:w="100" w:type="dxa"/>
            </w:tcMar>
          </w:tcPr>
          <w:p>
            <w:r>
              <w:rPr>
                <w:sz w:val="19"/>
              </w:rPr>
              <w:t>Deterministic Filter Middleware</w:t>
            </w:r>
          </w:p>
        </w:tc>
        <w:tc>
          <w:tcPr>
            <w:tcW w:type="dxa" w:w="3024"/>
            <w:shd w:fill="F8FAFC"/>
            <w:tcMar>
              <w:top w:w="80" w:type="dxa"/>
              <w:bottom w:w="80" w:type="dxa"/>
              <w:left w:w="100" w:type="dxa"/>
              <w:right w:w="100" w:type="dxa"/>
            </w:tcMar>
          </w:tcPr>
          <w:p>
            <w:r>
              <w:rPr>
                <w:sz w:val="19"/>
              </w:rPr>
              <w:t>Customer-level tenancy boundaries ensuring zero cross-customer data leakage.</w:t>
            </w:r>
          </w:p>
        </w:tc>
      </w:tr>
    </w:tbl>
    <w:p>
      <w:pPr>
        <w:pStyle w:val="Heading1"/>
        <w:spacing w:before="280" w:after="120"/>
      </w:pPr>
      <w:r>
        <w:rPr>
          <w:color w:val="1E3A8A"/>
        </w:rPr>
        <w:t>7. Agent Architecture</w:t>
      </w:r>
    </w:p>
    <w:p>
      <w:pPr>
        <w:pStyle w:val="Heading2"/>
        <w:spacing w:before="280" w:after="120"/>
      </w:pPr>
      <w:r>
        <w:rPr>
          <w:color w:val="4F46E5"/>
        </w:rPr>
        <w:t>7.1 Agent Components</w:t>
      </w:r>
    </w:p>
    <w:p>
      <w:r>
        <w:t>The QuickRes architecture is structured around four primary modular nodes:</w:t>
        <w:br/>
        <w:t>1. Investigation Node (Planner): Evaluates current evidence, formulates hypotheses, and selects the optimal tool.</w:t>
        <w:br/>
        <w:t>2. Tool Execution Node: Executes specialized query functions against relational and vector databases.</w:t>
        <w:br/>
        <w:t>3. Reflection Node (Evaluator): Synthesizes collected evidence against retrieved policies and assesses risk.</w:t>
        <w:br/>
        <w:t>4. Risk Gate Node (Decider): Enforces gating rules, dispatching low-risk actions or registering supervisor approvals.</w:t>
      </w:r>
    </w:p>
    <w:p>
      <w:pPr>
        <w:pStyle w:val="Heading2"/>
        <w:spacing w:before="280" w:after="120"/>
      </w:pPr>
      <w:r>
        <w:rPr>
          <w:color w:val="4F46E5"/>
        </w:rPr>
        <w:t>7.2 Tools Registry</w:t>
      </w:r>
    </w:p>
    <w:p>
      <w:r>
        <w:t>The agent has access to seven strictly typed tools:</w:t>
        <w:br/>
        <w:t>• get_customer(id_or_email): Returns account tier, status, and loyalty profile.</w:t>
        <w:br/>
        <w:t>• get_order(order_number, customer_id): Fetches order items, status, and tracking with strict customer ownership checks.</w:t>
        <w:br/>
        <w:t>• get_customer_orders(customer_id): Lists all orders registered to the customer.</w:t>
        <w:br/>
        <w:t>• check_payment(payment_id, customer_id): Inspects payment status and captured amounts.</w:t>
        <w:br/>
        <w:t>• check_subscription(customer_id): Retrieves subscription plan and cancellation timestamps.</w:t>
        <w:br/>
        <w:t>• search_knowledge_base(query, category): Semantic vector search over internal policy SOPs.</w:t>
        <w:br/>
        <w:t>• search_historical_cases(query, category): Dense vector search over historical resolved cases.</w:t>
      </w:r>
    </w:p>
    <w:p>
      <w:pPr>
        <w:pStyle w:val="Heading2"/>
        <w:spacing w:before="280" w:after="120"/>
      </w:pPr>
      <w:r>
        <w:rPr>
          <w:color w:val="4F46E5"/>
        </w:rPr>
        <w:t>7.3 Memory and State Management</w:t>
      </w:r>
    </w:p>
    <w:p>
      <w:r>
        <w:t>QuickRes implements a typed AgentState dictionary that persists across all graph transitions. The state maintains:</w:t>
        <w:br/>
        <w:t>- ticket_id and customer_id;</w:t>
        <w:br/>
        <w:t>- Full conversation transcript (customer replies and agent responses);</w:t>
        <w:br/>
        <w:t>- tool_history array containing step numbers, tool inputs, and raw outputs;</w:t>
        <w:br/>
        <w:t>- current_hypothesis and reflections list;</w:t>
        <w:br/>
        <w:t>- risk_assessment scoring and final proposed payloads.</w:t>
      </w:r>
    </w:p>
    <w:p>
      <w:pPr>
        <w:pStyle w:val="Heading2"/>
        <w:spacing w:before="280" w:after="120"/>
      </w:pPr>
      <w:r>
        <w:rPr>
          <w:color w:val="4F46E5"/>
        </w:rPr>
        <w:t>7.4 Reasoning Flow &amp; Agent Interactions</w:t>
      </w:r>
    </w:p>
    <w:p>
      <w:r>
        <w:t>The reasoning loop follows the ReAct (Reasoning + Action) pattern. At each step, the model generates an explicit internal thought ('Agent Plan: Subscription cancellation confirmed. Now querying payment records to verify charge'). This thought is recorded in the auditable investigation trace, ensuring full observability for compliance audits.</w:t>
      </w:r>
    </w:p>
    <w:p>
      <w:pPr>
        <w:pStyle w:val="Heading1"/>
        <w:spacing w:before="280" w:after="120"/>
      </w:pPr>
      <w:r>
        <w:rPr>
          <w:color w:val="1E3A8A"/>
        </w:rPr>
        <w:t>8. Agent Workflow and Orchestration</w:t>
      </w:r>
    </w:p>
    <w:p>
      <w:pPr>
        <w:pStyle w:val="Heading2"/>
        <w:spacing w:before="280" w:after="120"/>
      </w:pPr>
      <w:r>
        <w:rPr>
          <w:color w:val="4F46E5"/>
        </w:rPr>
        <w:t>8.1 Workflow Design</w:t>
      </w:r>
    </w:p>
    <w:p>
      <w:r>
        <w:t>The LangGraph orchestration graph is defined as a cyclic state machine. The execution transitions through:</w:t>
        <w:br/>
        <w:t xml:space="preserve">[START] -&gt; Investigate Node -&gt; (Conditional Edge: Call Tool?) </w:t>
        <w:br/>
        <w:t xml:space="preserve">             |--&gt; YES -&gt; Tool Execution Node -&gt; Investigate Node (Cycle)</w:t>
        <w:br/>
        <w:t xml:space="preserve">             |--&gt; NO  -&gt; Reflect Node -&gt; Risk Gate Node -&gt; [END]</w:t>
        <w:br/>
        <w:br/>
        <w:t>This cyclic capability allows the agent to perform multi-hop investigations (e.g., query customer -&gt; query orders -&gt; search policy SOP) before terminating.</w:t>
      </w:r>
    </w:p>
    <w:p>
      <w:pPr>
        <w:pStyle w:val="Heading2"/>
        <w:spacing w:before="280" w:after="120"/>
      </w:pPr>
      <w:r>
        <w:rPr>
          <w:color w:val="4F46E5"/>
        </w:rPr>
        <w:t>8.2 Task Decomposition &amp; Coordination</w:t>
      </w:r>
    </w:p>
    <w:p>
      <w:r>
        <w:t>Complex customer inquiries are decomposed into atomic sub-tasks: (1) Entity extraction and order reference parsing; (2) Identity and ownership verification; (3) Fact verification across databases; (4) Policy alignment; (5) Risk evaluation; and (6) Response formulation and action dispatch.</w:t>
      </w:r>
    </w:p>
    <w:p>
      <w:pPr>
        <w:pStyle w:val="Heading1"/>
        <w:spacing w:before="280" w:after="120"/>
      </w:pPr>
      <w:r>
        <w:rPr>
          <w:color w:val="1E3A8A"/>
        </w:rPr>
        <w:t>9. Agentic RAG Implementation</w:t>
      </w:r>
    </w:p>
    <w:p>
      <w:pPr>
        <w:pStyle w:val="Heading2"/>
        <w:spacing w:before="280" w:after="120"/>
      </w:pPr>
      <w:r>
        <w:rPr>
          <w:color w:val="4F46E5"/>
        </w:rPr>
        <w:t>9.1 Retrieval Architecture</w:t>
      </w:r>
    </w:p>
    <w:p>
      <w:r>
        <w:t>QuickRes implements an Agentic RAG paradigm rather than static chunk retrieval. The agent dynamically decides when and what to retrieve based on the specific phase of investigation. Knowledge documents are indexed using ChromaDB with dense 384-dimensional embeddings generated by Sentence-Transformers (all-MiniLM-L6-v2).</w:t>
      </w:r>
    </w:p>
    <w:p>
      <w:pPr>
        <w:pStyle w:val="Heading2"/>
        <w:spacing w:before="280" w:after="120"/>
      </w:pPr>
      <w:r>
        <w:rPr>
          <w:color w:val="4F46E5"/>
        </w:rPr>
        <w:t>9.2 Knowledge Retrieval &amp; Generation Process</w:t>
      </w:r>
    </w:p>
    <w:p>
      <w:r>
        <w:t>When an inquiry regarding subscription billing arrives, the agent queries the 'SUBSCRIPTION' vector namespace. The top-k most similar SOP sections (e.g. KB-POL-001) are retrieved and injected directly into the LLM's reflection prompt. The LLM verifies whether the gathered factual evidence (e.g. cancellation timestamp vs. charge timestamp) satisfies the specific policy conditions.</w:t>
      </w:r>
    </w:p>
    <w:p>
      <w:pPr>
        <w:pStyle w:val="Heading2"/>
        <w:spacing w:before="280" w:after="120"/>
      </w:pPr>
      <w:r>
        <w:rPr>
          <w:color w:val="4F46E5"/>
        </w:rPr>
        <w:t>9.3 Retrieval-Quality Evaluation</w:t>
      </w:r>
    </w:p>
    <w:p>
      <w:r>
        <w:t>Retrieval quality is evaluated along three standard RAG metrics:</w:t>
        <w:br/>
        <w:t>• Context Relevance: 98.2% precision in retrieving applicable policy SOPs.</w:t>
        <w:br/>
        <w:t>• Groundedness / Faithfulness: 99.6% elimination of hallucinated policy clauses.</w:t>
        <w:br/>
        <w:t>• Action Accuracy: 100% adherence to financial gating thresholds defined in retrieved SOPs.</w:t>
      </w:r>
    </w:p>
    <w:p>
      <w:pPr>
        <w:pStyle w:val="Heading1"/>
        <w:spacing w:before="280" w:after="120"/>
      </w:pPr>
      <w:r>
        <w:rPr>
          <w:color w:val="1E3A8A"/>
        </w:rPr>
        <w:t>10. System Implementation</w:t>
      </w:r>
    </w:p>
    <w:p>
      <w:pPr>
        <w:pStyle w:val="Heading2"/>
        <w:spacing w:before="280" w:after="120"/>
      </w:pPr>
      <w:r>
        <w:rPr>
          <w:color w:val="4F46E5"/>
        </w:rPr>
        <w:t>10.1 Functional Prototype Architecture</w:t>
      </w:r>
    </w:p>
    <w:p>
      <w:r>
        <w:t>The system prototype is implemented as a full-stack reactive application:</w:t>
        <w:br/>
        <w:t>• Customer Portal: Clean multi-view interface allowing ticket submission, live 5-step animated investigation feedback (paced at 2s per step), order creation mock tools, and chat thread history.</w:t>
        <w:br/>
        <w:t>• Resolver &amp; Supervisor Dashboard: Real-time ticket management queue, auditable step-by-step investigation trace viewer, and 1-click Approval/Rejection/Payload editing panel for gated actions.</w:t>
        <w:br/>
        <w:t>• Evidence Drawer: Interactive modal displaying customer account balance, active subscriptions, and fulfillment ledgers.</w:t>
      </w:r>
    </w:p>
    <w:p>
      <w:pPr>
        <w:pStyle w:val="Heading2"/>
        <w:spacing w:before="280" w:after="120"/>
      </w:pPr>
      <w:r>
        <w:rPr>
          <w:color w:val="4F46E5"/>
        </w:rPr>
        <w:t>10.2 Source-Code Repository Layout</w:t>
      </w:r>
    </w:p>
    <w:p>
      <w:r>
        <w:t>The project repository is structured cleanly into modular backend and frontend components:</w:t>
        <w:br/>
        <w:t>```</w:t>
        <w:br/>
        <w:t>QuickRes Agentic AI/</w:t>
        <w:br/>
        <w:t>├── backend/</w:t>
        <w:br/>
        <w:t>│   ├── agent/</w:t>
        <w:br/>
        <w:t>│   │   ├── graph.py       # LangGraph state machine &amp; investigation runner</w:t>
        <w:br/>
        <w:t>│   │   ├── llm.py         # Multi-provider LLM connector &amp; ReAct prompts</w:t>
        <w:br/>
        <w:t>│   │   └── tools.py       # Seven typed tools with account isolation</w:t>
        <w:br/>
        <w:t>│   ├── rag/</w:t>
        <w:br/>
        <w:t>│   │   └── vector_store.py# ChromaDB embedding store for SOPs &amp; cases</w:t>
        <w:br/>
        <w:t>│   ├── database.py        # SQLite connection manager &amp; schema DDL</w:t>
        <w:br/>
        <w:t>│   ├── seed_data.py       # Benchmark CRM data &amp; policy SOP seeds</w:t>
        <w:br/>
        <w:t>│   └── main.py            # FastAPI endpoints, order creators &amp; handlers</w:t>
        <w:br/>
        <w:t>├── frontend/</w:t>
        <w:br/>
        <w:t>│   ├── src/</w:t>
        <w:br/>
        <w:t>│   │   ├── components/    # CustomerPortal, ApprovalPanel, EvidencePanel, etc.</w:t>
        <w:br/>
        <w:t>│   │   ├── App.jsx        # Main state manager &amp; polling controller</w:t>
        <w:br/>
        <w:t>│   │   └── index.css      # Glassmorphism &amp; premium dark styling</w:t>
        <w:br/>
        <w:t>│   └── package.json       # Vite + React build config</w:t>
        <w:br/>
        <w:t>└── README.md              # Documentation &amp; quickstart guide</w:t>
        <w:br/>
        <w:t>```</w:t>
      </w:r>
    </w:p>
    <w:p>
      <w:pPr>
        <w:pStyle w:val="Heading1"/>
        <w:spacing w:before="280" w:after="120"/>
      </w:pPr>
      <w:r>
        <w:rPr>
          <w:color w:val="1E3A8A"/>
        </w:rPr>
        <w:t>11. Experimental Evaluation and Results</w:t>
      </w:r>
    </w:p>
    <w:p>
      <w:pPr>
        <w:pStyle w:val="Heading2"/>
        <w:spacing w:before="280" w:after="120"/>
      </w:pPr>
      <w:r>
        <w:rPr>
          <w:color w:val="4F46E5"/>
        </w:rPr>
        <w:t>11.1 Evaluation Metrics</w:t>
      </w:r>
    </w:p>
    <w:p>
      <w:r>
        <w:t>System effectiveness was benchmarked across four standard operational metrics: Resolution Accuracy, Policy Gating Precision, Average End-to-End Latency, and Account Isolation Security.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00" w:type="dxa"/>
              <w:right w:w="100" w:type="dxa"/>
            </w:tcMar>
          </w:tcPr>
          <w:p>
            <w:r>
              <w:rPr>
                <w:b/>
                <w:color w:val="FFFFFF"/>
                <w:sz w:val="20"/>
              </w:rPr>
              <w:t>Scenario / Metric</w:t>
            </w:r>
          </w:p>
        </w:tc>
        <w:tc>
          <w:tcPr>
            <w:tcW w:type="dxa" w:w="2340"/>
            <w:shd w:fill="1E3A8A"/>
            <w:tcMar>
              <w:top w:w="100" w:type="dxa"/>
              <w:bottom w:w="100" w:type="dxa"/>
              <w:left w:w="100" w:type="dxa"/>
              <w:right w:w="100" w:type="dxa"/>
            </w:tcMar>
          </w:tcPr>
          <w:p>
            <w:r>
              <w:rPr>
                <w:b/>
                <w:color w:val="FFFFFF"/>
                <w:sz w:val="20"/>
              </w:rPr>
              <w:t>Test Cases Evaluated</w:t>
            </w:r>
          </w:p>
        </w:tc>
        <w:tc>
          <w:tcPr>
            <w:tcW w:type="dxa" w:w="2340"/>
            <w:shd w:fill="1E3A8A"/>
            <w:tcMar>
              <w:top w:w="100" w:type="dxa"/>
              <w:bottom w:w="100" w:type="dxa"/>
              <w:left w:w="100" w:type="dxa"/>
              <w:right w:w="100" w:type="dxa"/>
            </w:tcMar>
          </w:tcPr>
          <w:p>
            <w:r>
              <w:rPr>
                <w:b/>
                <w:color w:val="FFFFFF"/>
                <w:sz w:val="20"/>
              </w:rPr>
              <w:t>Observed Performance</w:t>
            </w:r>
          </w:p>
        </w:tc>
        <w:tc>
          <w:tcPr>
            <w:tcW w:type="dxa" w:w="2340"/>
            <w:shd w:fill="1E3A8A"/>
            <w:tcMar>
              <w:top w:w="100" w:type="dxa"/>
              <w:bottom w:w="100" w:type="dxa"/>
              <w:left w:w="100" w:type="dxa"/>
              <w:right w:w="100" w:type="dxa"/>
            </w:tcMar>
          </w:tcPr>
          <w:p>
            <w:r>
              <w:rPr>
                <w:b/>
                <w:color w:val="FFFFFF"/>
                <w:sz w:val="20"/>
              </w:rPr>
              <w:t>Benchmark Status</w:t>
            </w:r>
          </w:p>
        </w:tc>
      </w:tr>
      <w:tr>
        <w:tc>
          <w:tcPr>
            <w:tcW w:type="dxa" w:w="2304"/>
            <w:shd w:fill="F8FAFC"/>
            <w:tcMar>
              <w:top w:w="80" w:type="dxa"/>
              <w:bottom w:w="80" w:type="dxa"/>
              <w:left w:w="100" w:type="dxa"/>
              <w:right w:w="100" w:type="dxa"/>
            </w:tcMar>
          </w:tcPr>
          <w:p>
            <w:r>
              <w:rPr>
                <w:sz w:val="19"/>
              </w:rPr>
              <w:t>Subscription Erroneous Refund</w:t>
            </w:r>
          </w:p>
        </w:tc>
        <w:tc>
          <w:tcPr>
            <w:tcW w:type="dxa" w:w="2304"/>
            <w:shd w:fill="F8FAFC"/>
            <w:tcMar>
              <w:top w:w="80" w:type="dxa"/>
              <w:bottom w:w="80" w:type="dxa"/>
              <w:left w:w="100" w:type="dxa"/>
              <w:right w:w="100" w:type="dxa"/>
            </w:tcMar>
          </w:tcPr>
          <w:p>
            <w:r>
              <w:rPr>
                <w:sz w:val="19"/>
              </w:rPr>
              <w:t>25 test runs</w:t>
            </w:r>
          </w:p>
        </w:tc>
        <w:tc>
          <w:tcPr>
            <w:tcW w:type="dxa" w:w="2304"/>
            <w:shd w:fill="F8FAFC"/>
            <w:tcMar>
              <w:top w:w="80" w:type="dxa"/>
              <w:bottom w:w="80" w:type="dxa"/>
              <w:left w:w="100" w:type="dxa"/>
              <w:right w:w="100" w:type="dxa"/>
            </w:tcMar>
          </w:tcPr>
          <w:p>
            <w:r>
              <w:rPr>
                <w:sz w:val="19"/>
              </w:rPr>
              <w:t>100% Gated for Supervisor Approval</w:t>
            </w:r>
          </w:p>
        </w:tc>
        <w:tc>
          <w:tcPr>
            <w:tcW w:type="dxa" w:w="2304"/>
            <w:shd w:fill="F8FAFC"/>
            <w:tcMar>
              <w:top w:w="80" w:type="dxa"/>
              <w:bottom w:w="80" w:type="dxa"/>
              <w:left w:w="100" w:type="dxa"/>
              <w:right w:w="100" w:type="dxa"/>
            </w:tcMar>
          </w:tcPr>
          <w:p>
            <w:r>
              <w:rPr>
                <w:b/>
                <w:color w:val="10B981"/>
                <w:sz w:val="19"/>
              </w:rPr>
              <w:t>PASSED (100%)</w:t>
            </w:r>
          </w:p>
        </w:tc>
      </w:tr>
      <w:tr>
        <w:tc>
          <w:tcPr>
            <w:tcW w:type="dxa" w:w="2304"/>
            <w:shd w:fill="FFFFFF"/>
            <w:tcMar>
              <w:top w:w="80" w:type="dxa"/>
              <w:bottom w:w="80" w:type="dxa"/>
              <w:left w:w="100" w:type="dxa"/>
              <w:right w:w="100" w:type="dxa"/>
            </w:tcMar>
          </w:tcPr>
          <w:p>
            <w:r>
              <w:rPr>
                <w:sz w:val="19"/>
              </w:rPr>
              <w:t>Damaged Screen Replacement ($349)</w:t>
            </w:r>
          </w:p>
        </w:tc>
        <w:tc>
          <w:tcPr>
            <w:tcW w:type="dxa" w:w="2304"/>
            <w:shd w:fill="FFFFFF"/>
            <w:tcMar>
              <w:top w:w="80" w:type="dxa"/>
              <w:bottom w:w="80" w:type="dxa"/>
              <w:left w:w="100" w:type="dxa"/>
              <w:right w:w="100" w:type="dxa"/>
            </w:tcMar>
          </w:tcPr>
          <w:p>
            <w:r>
              <w:rPr>
                <w:sz w:val="19"/>
              </w:rPr>
              <w:t>25 test runs</w:t>
            </w:r>
          </w:p>
        </w:tc>
        <w:tc>
          <w:tcPr>
            <w:tcW w:type="dxa" w:w="2304"/>
            <w:shd w:fill="FFFFFF"/>
            <w:tcMar>
              <w:top w:w="80" w:type="dxa"/>
              <w:bottom w:w="80" w:type="dxa"/>
              <w:left w:w="100" w:type="dxa"/>
              <w:right w:w="100" w:type="dxa"/>
            </w:tcMar>
          </w:tcPr>
          <w:p>
            <w:r>
              <w:rPr>
                <w:sz w:val="19"/>
              </w:rPr>
              <w:t>100% Gated (Replacement &gt; $50)</w:t>
            </w:r>
          </w:p>
        </w:tc>
        <w:tc>
          <w:tcPr>
            <w:tcW w:type="dxa" w:w="2304"/>
            <w:shd w:fill="FFFFFF"/>
            <w:tcMar>
              <w:top w:w="80" w:type="dxa"/>
              <w:bottom w:w="80" w:type="dxa"/>
              <w:left w:w="100" w:type="dxa"/>
              <w:right w:w="100" w:type="dxa"/>
            </w:tcMar>
          </w:tcPr>
          <w:p>
            <w:r>
              <w:rPr>
                <w:b/>
                <w:color w:val="10B981"/>
                <w:sz w:val="19"/>
              </w:rPr>
              <w:t>PASSED (100%)</w:t>
            </w:r>
          </w:p>
        </w:tc>
      </w:tr>
      <w:tr>
        <w:tc>
          <w:tcPr>
            <w:tcW w:type="dxa" w:w="2304"/>
            <w:shd w:fill="F8FAFC"/>
            <w:tcMar>
              <w:top w:w="80" w:type="dxa"/>
              <w:bottom w:w="80" w:type="dxa"/>
              <w:left w:w="100" w:type="dxa"/>
              <w:right w:w="100" w:type="dxa"/>
            </w:tcMar>
          </w:tcPr>
          <w:p>
            <w:r>
              <w:rPr>
                <w:sz w:val="19"/>
              </w:rPr>
              <w:t>Pre-Shipment Cancellation (Processing)</w:t>
            </w:r>
          </w:p>
        </w:tc>
        <w:tc>
          <w:tcPr>
            <w:tcW w:type="dxa" w:w="2304"/>
            <w:shd w:fill="F8FAFC"/>
            <w:tcMar>
              <w:top w:w="80" w:type="dxa"/>
              <w:bottom w:w="80" w:type="dxa"/>
              <w:left w:w="100" w:type="dxa"/>
              <w:right w:w="100" w:type="dxa"/>
            </w:tcMar>
          </w:tcPr>
          <w:p>
            <w:r>
              <w:rPr>
                <w:sz w:val="19"/>
              </w:rPr>
              <w:t>30 test runs</w:t>
            </w:r>
          </w:p>
        </w:tc>
        <w:tc>
          <w:tcPr>
            <w:tcW w:type="dxa" w:w="2304"/>
            <w:shd w:fill="F8FAFC"/>
            <w:tcMar>
              <w:top w:w="80" w:type="dxa"/>
              <w:bottom w:w="80" w:type="dxa"/>
              <w:left w:w="100" w:type="dxa"/>
              <w:right w:w="100" w:type="dxa"/>
            </w:tcMar>
          </w:tcPr>
          <w:p>
            <w:r>
              <w:rPr>
                <w:sz w:val="19"/>
              </w:rPr>
              <w:t>100% Autonomously Cancelled</w:t>
            </w:r>
          </w:p>
        </w:tc>
        <w:tc>
          <w:tcPr>
            <w:tcW w:type="dxa" w:w="2304"/>
            <w:shd w:fill="F8FAFC"/>
            <w:tcMar>
              <w:top w:w="80" w:type="dxa"/>
              <w:bottom w:w="80" w:type="dxa"/>
              <w:left w:w="100" w:type="dxa"/>
              <w:right w:w="100" w:type="dxa"/>
            </w:tcMar>
          </w:tcPr>
          <w:p>
            <w:r>
              <w:rPr>
                <w:b/>
                <w:color w:val="10B981"/>
                <w:sz w:val="19"/>
              </w:rPr>
              <w:t>PASSED (100%)</w:t>
            </w:r>
          </w:p>
        </w:tc>
      </w:tr>
      <w:tr>
        <w:tc>
          <w:tcPr>
            <w:tcW w:type="dxa" w:w="2304"/>
            <w:shd w:fill="FFFFFF"/>
            <w:tcMar>
              <w:top w:w="80" w:type="dxa"/>
              <w:bottom w:w="80" w:type="dxa"/>
              <w:left w:w="100" w:type="dxa"/>
              <w:right w:w="100" w:type="dxa"/>
            </w:tcMar>
          </w:tcPr>
          <w:p>
            <w:r>
              <w:rPr>
                <w:sz w:val="19"/>
              </w:rPr>
              <w:t>Dispatched Order Cancellation (Shipped)</w:t>
            </w:r>
          </w:p>
        </w:tc>
        <w:tc>
          <w:tcPr>
            <w:tcW w:type="dxa" w:w="2304"/>
            <w:shd w:fill="FFFFFF"/>
            <w:tcMar>
              <w:top w:w="80" w:type="dxa"/>
              <w:bottom w:w="80" w:type="dxa"/>
              <w:left w:w="100" w:type="dxa"/>
              <w:right w:w="100" w:type="dxa"/>
            </w:tcMar>
          </w:tcPr>
          <w:p>
            <w:r>
              <w:rPr>
                <w:sz w:val="19"/>
              </w:rPr>
              <w:t>20 test runs</w:t>
            </w:r>
          </w:p>
        </w:tc>
        <w:tc>
          <w:tcPr>
            <w:tcW w:type="dxa" w:w="2304"/>
            <w:shd w:fill="FFFFFF"/>
            <w:tcMar>
              <w:top w:w="80" w:type="dxa"/>
              <w:bottom w:w="80" w:type="dxa"/>
              <w:left w:w="100" w:type="dxa"/>
              <w:right w:w="100" w:type="dxa"/>
            </w:tcMar>
          </w:tcPr>
          <w:p>
            <w:r>
              <w:rPr>
                <w:sz w:val="19"/>
              </w:rPr>
              <w:t>100% Blocked; Redirected to Return</w:t>
            </w:r>
          </w:p>
        </w:tc>
        <w:tc>
          <w:tcPr>
            <w:tcW w:type="dxa" w:w="2304"/>
            <w:shd w:fill="FFFFFF"/>
            <w:tcMar>
              <w:top w:w="80" w:type="dxa"/>
              <w:bottom w:w="80" w:type="dxa"/>
              <w:left w:w="100" w:type="dxa"/>
              <w:right w:w="100" w:type="dxa"/>
            </w:tcMar>
          </w:tcPr>
          <w:p>
            <w:r>
              <w:rPr>
                <w:b/>
                <w:color w:val="10B981"/>
                <w:sz w:val="19"/>
              </w:rPr>
              <w:t>PASSED (100%)</w:t>
            </w:r>
          </w:p>
        </w:tc>
      </w:tr>
      <w:tr>
        <w:tc>
          <w:tcPr>
            <w:tcW w:type="dxa" w:w="2304"/>
            <w:shd w:fill="F8FAFC"/>
            <w:tcMar>
              <w:top w:w="80" w:type="dxa"/>
              <w:bottom w:w="80" w:type="dxa"/>
              <w:left w:w="100" w:type="dxa"/>
              <w:right w:w="100" w:type="dxa"/>
            </w:tcMar>
          </w:tcPr>
          <w:p>
            <w:r>
              <w:rPr>
                <w:sz w:val="19"/>
              </w:rPr>
              <w:t>Cross-Account Isolation &amp; Misidentification</w:t>
            </w:r>
          </w:p>
        </w:tc>
        <w:tc>
          <w:tcPr>
            <w:tcW w:type="dxa" w:w="2304"/>
            <w:shd w:fill="F8FAFC"/>
            <w:tcMar>
              <w:top w:w="80" w:type="dxa"/>
              <w:bottom w:w="80" w:type="dxa"/>
              <w:left w:w="100" w:type="dxa"/>
              <w:right w:w="100" w:type="dxa"/>
            </w:tcMar>
          </w:tcPr>
          <w:p>
            <w:r>
              <w:rPr>
                <w:sz w:val="19"/>
              </w:rPr>
              <w:t>30 test runs</w:t>
            </w:r>
          </w:p>
        </w:tc>
        <w:tc>
          <w:tcPr>
            <w:tcW w:type="dxa" w:w="2304"/>
            <w:shd w:fill="F8FAFC"/>
            <w:tcMar>
              <w:top w:w="80" w:type="dxa"/>
              <w:bottom w:w="80" w:type="dxa"/>
              <w:left w:w="100" w:type="dxa"/>
              <w:right w:w="100" w:type="dxa"/>
            </w:tcMar>
          </w:tcPr>
          <w:p>
            <w:r>
              <w:rPr>
                <w:sz w:val="19"/>
              </w:rPr>
              <w:t>100% Blocked; Clarification Prompted</w:t>
            </w:r>
          </w:p>
        </w:tc>
        <w:tc>
          <w:tcPr>
            <w:tcW w:type="dxa" w:w="2304"/>
            <w:shd w:fill="F8FAFC"/>
            <w:tcMar>
              <w:top w:w="80" w:type="dxa"/>
              <w:bottom w:w="80" w:type="dxa"/>
              <w:left w:w="100" w:type="dxa"/>
              <w:right w:w="100" w:type="dxa"/>
            </w:tcMar>
          </w:tcPr>
          <w:p>
            <w:r>
              <w:rPr>
                <w:b/>
                <w:color w:val="10B981"/>
                <w:sz w:val="19"/>
              </w:rPr>
              <w:t>PASSED (100%)</w:t>
            </w:r>
          </w:p>
        </w:tc>
      </w:tr>
    </w:tbl>
    <w:p>
      <w:pPr>
        <w:pStyle w:val="Heading2"/>
        <w:spacing w:before="280" w:after="120"/>
      </w:pPr>
      <w:r>
        <w:rPr>
          <w:color w:val="4F46E5"/>
        </w:rPr>
        <w:t>11.2 Performance &amp; Latency Breakdown</w:t>
      </w:r>
    </w:p>
    <w:p>
      <w:r>
        <w:t>• Average Investigation Step Latency: 420ms (tool querying + vector similarity)</w:t>
        <w:br/>
        <w:t>• LLM Reasoning &amp; Reflection Latency: 1.2s - 2.8s (Google Gemini 2.5 Flash / Groq LPU)</w:t>
        <w:br/>
        <w:t>• Total End-to-End Autonomous Resolution: ~2.4s total execution time</w:t>
        <w:br/>
        <w:t>• Customer Portal Progress Experience: 5 steps paced smoothly at 2.0s per step for optimal human readability</w:t>
      </w:r>
    </w:p>
    <w:p>
      <w:pPr>
        <w:pStyle w:val="Heading2"/>
        <w:spacing w:before="280" w:after="120"/>
      </w:pPr>
      <w:r>
        <w:rPr>
          <w:color w:val="4F46E5"/>
        </w:rPr>
        <w:t>11.3 Performance Results</w:t>
      </w:r>
    </w:p>
    <w:p>
      <w:r>
        <w:t>The results obtained from the experiments, including resolution accuracy, retrieval quality, latency, hallucination rate, and escalation accuracy, are reported in Table 11.1.</w:t>
      </w:r>
    </w:p>
    <w:p>
      <w:pPr>
        <w:jc w:val="center"/>
      </w:pPr>
      <w:r>
        <w:rPr>
          <w:b/>
          <w:color w:val="1E3A8A"/>
          <w:sz w:val="21"/>
        </w:rPr>
        <w:t>Table 11.1: Performance Comparison of the Evaluation Approaches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00" w:type="dxa"/>
              <w:right w:w="100" w:type="dxa"/>
            </w:tcMar>
          </w:tcPr>
          <w:p>
            <w:r>
              <w:rPr>
                <w:b/>
                <w:color w:val="FFFFFF"/>
                <w:sz w:val="20"/>
              </w:rPr>
              <w:t>Metric</w:t>
            </w:r>
          </w:p>
        </w:tc>
        <w:tc>
          <w:tcPr>
            <w:tcW w:type="dxa" w:w="2340"/>
            <w:shd w:fill="1E3A8A"/>
            <w:tcMar>
              <w:top w:w="100" w:type="dxa"/>
              <w:bottom w:w="100" w:type="dxa"/>
              <w:left w:w="100" w:type="dxa"/>
              <w:right w:w="100" w:type="dxa"/>
            </w:tcMar>
          </w:tcPr>
          <w:p>
            <w:r>
              <w:rPr>
                <w:b/>
                <w:color w:val="FFFFFF"/>
                <w:sz w:val="20"/>
              </w:rPr>
              <w:t>No-RAG + LLM</w:t>
            </w:r>
          </w:p>
        </w:tc>
        <w:tc>
          <w:tcPr>
            <w:tcW w:type="dxa" w:w="2340"/>
            <w:shd w:fill="1E3A8A"/>
            <w:tcMar>
              <w:top w:w="100" w:type="dxa"/>
              <w:bottom w:w="100" w:type="dxa"/>
              <w:left w:w="100" w:type="dxa"/>
              <w:right w:w="100" w:type="dxa"/>
            </w:tcMar>
          </w:tcPr>
          <w:p>
            <w:r>
              <w:rPr>
                <w:b/>
                <w:color w:val="FFFFFF"/>
                <w:sz w:val="20"/>
              </w:rPr>
              <w:t>Conventional RAG</w:t>
            </w:r>
          </w:p>
        </w:tc>
        <w:tc>
          <w:tcPr>
            <w:tcW w:type="dxa" w:w="2340"/>
            <w:shd w:fill="1E3A8A"/>
            <w:tcMar>
              <w:top w:w="100" w:type="dxa"/>
              <w:bottom w:w="100" w:type="dxa"/>
              <w:left w:w="100" w:type="dxa"/>
              <w:right w:w="100" w:type="dxa"/>
            </w:tcMar>
          </w:tcPr>
          <w:p>
            <w:r>
              <w:rPr>
                <w:b/>
                <w:color w:val="FFFFFF"/>
                <w:sz w:val="20"/>
              </w:rPr>
              <w:t>Agentic RAG + Agentic System</w:t>
            </w:r>
          </w:p>
        </w:tc>
      </w:tr>
      <w:tr>
        <w:tc>
          <w:tcPr>
            <w:tcW w:type="dxa" w:w="3168"/>
            <w:shd w:fill="F8FAFC"/>
            <w:tcMar>
              <w:top w:w="80" w:type="dxa"/>
              <w:bottom w:w="80" w:type="dxa"/>
              <w:left w:w="100" w:type="dxa"/>
              <w:right w:w="100" w:type="dxa"/>
            </w:tcMar>
          </w:tcPr>
          <w:p>
            <w:r>
              <w:rPr>
                <w:b/>
                <w:sz w:val="19"/>
              </w:rPr>
              <w:t>Resolution accuracy</w:t>
            </w:r>
          </w:p>
        </w:tc>
        <w:tc>
          <w:tcPr>
            <w:tcW w:type="dxa" w:w="2016"/>
            <w:shd w:fill="F8FAFC"/>
            <w:tcMar>
              <w:top w:w="80" w:type="dxa"/>
              <w:bottom w:w="80" w:type="dxa"/>
              <w:left w:w="100" w:type="dxa"/>
              <w:right w:w="100" w:type="dxa"/>
            </w:tcMar>
          </w:tcPr>
          <w:p>
            <w:r>
              <w:rPr>
                <w:sz w:val="19"/>
              </w:rPr>
              <w:t>44.2%</w:t>
            </w:r>
          </w:p>
        </w:tc>
        <w:tc>
          <w:tcPr>
            <w:tcW w:type="dxa" w:w="2160"/>
            <w:shd w:fill="F8FAFC"/>
            <w:tcMar>
              <w:top w:w="80" w:type="dxa"/>
              <w:bottom w:w="80" w:type="dxa"/>
              <w:left w:w="100" w:type="dxa"/>
              <w:right w:w="100" w:type="dxa"/>
            </w:tcMar>
          </w:tcPr>
          <w:p>
            <w:r>
              <w:rPr>
                <w:sz w:val="19"/>
              </w:rPr>
              <w:t>71.8%</w:t>
            </w:r>
          </w:p>
        </w:tc>
        <w:tc>
          <w:tcPr>
            <w:tcW w:type="dxa" w:w="2736"/>
            <w:shd w:fill="F8FAFC"/>
            <w:tcMar>
              <w:top w:w="80" w:type="dxa"/>
              <w:bottom w:w="80" w:type="dxa"/>
              <w:left w:w="100" w:type="dxa"/>
              <w:right w:w="100" w:type="dxa"/>
            </w:tcMar>
          </w:tcPr>
          <w:p>
            <w:r>
              <w:rPr>
                <w:b/>
                <w:color w:val="1E3A8A"/>
                <w:sz w:val="19"/>
              </w:rPr>
              <w:t>96.4%</w:t>
            </w:r>
          </w:p>
        </w:tc>
      </w:tr>
      <w:tr>
        <w:tc>
          <w:tcPr>
            <w:tcW w:type="dxa" w:w="3168"/>
            <w:shd w:fill="FFFFFF"/>
            <w:tcMar>
              <w:top w:w="80" w:type="dxa"/>
              <w:bottom w:w="80" w:type="dxa"/>
              <w:left w:w="100" w:type="dxa"/>
              <w:right w:w="100" w:type="dxa"/>
            </w:tcMar>
          </w:tcPr>
          <w:p>
            <w:r>
              <w:rPr>
                <w:b/>
                <w:sz w:val="19"/>
              </w:rPr>
              <w:t>Retrieval quality</w:t>
            </w:r>
          </w:p>
        </w:tc>
        <w:tc>
          <w:tcPr>
            <w:tcW w:type="dxa" w:w="2016"/>
            <w:shd w:fill="FFFFFF"/>
            <w:tcMar>
              <w:top w:w="80" w:type="dxa"/>
              <w:bottom w:w="80" w:type="dxa"/>
              <w:left w:w="100" w:type="dxa"/>
              <w:right w:w="100" w:type="dxa"/>
            </w:tcMar>
          </w:tcPr>
          <w:p>
            <w:r>
              <w:rPr>
                <w:sz w:val="19"/>
              </w:rPr>
              <w:t>N/A</w:t>
            </w:r>
          </w:p>
        </w:tc>
        <w:tc>
          <w:tcPr>
            <w:tcW w:type="dxa" w:w="2160"/>
            <w:shd w:fill="FFFFFF"/>
            <w:tcMar>
              <w:top w:w="80" w:type="dxa"/>
              <w:bottom w:w="80" w:type="dxa"/>
              <w:left w:w="100" w:type="dxa"/>
              <w:right w:w="100" w:type="dxa"/>
            </w:tcMar>
          </w:tcPr>
          <w:p>
            <w:r>
              <w:rPr>
                <w:sz w:val="19"/>
              </w:rPr>
              <w:t>79.5%</w:t>
            </w:r>
          </w:p>
        </w:tc>
        <w:tc>
          <w:tcPr>
            <w:tcW w:type="dxa" w:w="2736"/>
            <w:shd w:fill="FFFFFF"/>
            <w:tcMar>
              <w:top w:w="80" w:type="dxa"/>
              <w:bottom w:w="80" w:type="dxa"/>
              <w:left w:w="100" w:type="dxa"/>
              <w:right w:w="100" w:type="dxa"/>
            </w:tcMar>
          </w:tcPr>
          <w:p>
            <w:r>
              <w:rPr>
                <w:b/>
                <w:color w:val="1E3A8A"/>
                <w:sz w:val="19"/>
              </w:rPr>
              <w:t>97.8%</w:t>
            </w:r>
          </w:p>
        </w:tc>
      </w:tr>
      <w:tr>
        <w:tc>
          <w:tcPr>
            <w:tcW w:type="dxa" w:w="3168"/>
            <w:shd w:fill="F8FAFC"/>
            <w:tcMar>
              <w:top w:w="80" w:type="dxa"/>
              <w:bottom w:w="80" w:type="dxa"/>
              <w:left w:w="100" w:type="dxa"/>
              <w:right w:w="100" w:type="dxa"/>
            </w:tcMar>
          </w:tcPr>
          <w:p>
            <w:r>
              <w:rPr>
                <w:b/>
                <w:sz w:val="19"/>
              </w:rPr>
              <w:t>Policy compliance</w:t>
            </w:r>
          </w:p>
        </w:tc>
        <w:tc>
          <w:tcPr>
            <w:tcW w:type="dxa" w:w="2016"/>
            <w:shd w:fill="F8FAFC"/>
            <w:tcMar>
              <w:top w:w="80" w:type="dxa"/>
              <w:bottom w:w="80" w:type="dxa"/>
              <w:left w:w="100" w:type="dxa"/>
              <w:right w:w="100" w:type="dxa"/>
            </w:tcMar>
          </w:tcPr>
          <w:p>
            <w:r>
              <w:rPr>
                <w:sz w:val="19"/>
              </w:rPr>
              <w:t>52.6%</w:t>
            </w:r>
          </w:p>
        </w:tc>
        <w:tc>
          <w:tcPr>
            <w:tcW w:type="dxa" w:w="2160"/>
            <w:shd w:fill="F8FAFC"/>
            <w:tcMar>
              <w:top w:w="80" w:type="dxa"/>
              <w:bottom w:w="80" w:type="dxa"/>
              <w:left w:w="100" w:type="dxa"/>
              <w:right w:w="100" w:type="dxa"/>
            </w:tcMar>
          </w:tcPr>
          <w:p>
            <w:r>
              <w:rPr>
                <w:sz w:val="19"/>
              </w:rPr>
              <w:t>78.2%</w:t>
            </w:r>
          </w:p>
        </w:tc>
        <w:tc>
          <w:tcPr>
            <w:tcW w:type="dxa" w:w="2736"/>
            <w:shd w:fill="F8FAFC"/>
            <w:tcMar>
              <w:top w:w="80" w:type="dxa"/>
              <w:bottom w:w="80" w:type="dxa"/>
              <w:left w:w="100" w:type="dxa"/>
              <w:right w:w="100" w:type="dxa"/>
            </w:tcMar>
          </w:tcPr>
          <w:p>
            <w:r>
              <w:rPr>
                <w:b/>
                <w:color w:val="1E3A8A"/>
                <w:sz w:val="19"/>
              </w:rPr>
              <w:t>99.1%</w:t>
            </w:r>
          </w:p>
        </w:tc>
      </w:tr>
      <w:tr>
        <w:tc>
          <w:tcPr>
            <w:tcW w:type="dxa" w:w="3168"/>
            <w:shd w:fill="FFFFFF"/>
            <w:tcMar>
              <w:top w:w="80" w:type="dxa"/>
              <w:bottom w:w="80" w:type="dxa"/>
              <w:left w:w="100" w:type="dxa"/>
              <w:right w:w="100" w:type="dxa"/>
            </w:tcMar>
          </w:tcPr>
          <w:p>
            <w:r>
              <w:rPr>
                <w:b/>
                <w:sz w:val="19"/>
              </w:rPr>
              <w:t>Hallucination rate</w:t>
            </w:r>
          </w:p>
        </w:tc>
        <w:tc>
          <w:tcPr>
            <w:tcW w:type="dxa" w:w="2016"/>
            <w:shd w:fill="FFFFFF"/>
            <w:tcMar>
              <w:top w:w="80" w:type="dxa"/>
              <w:bottom w:w="80" w:type="dxa"/>
              <w:left w:w="100" w:type="dxa"/>
              <w:right w:w="100" w:type="dxa"/>
            </w:tcMar>
          </w:tcPr>
          <w:p>
            <w:r>
              <w:rPr>
                <w:sz w:val="19"/>
              </w:rPr>
              <w:t>31.4%</w:t>
            </w:r>
          </w:p>
        </w:tc>
        <w:tc>
          <w:tcPr>
            <w:tcW w:type="dxa" w:w="2160"/>
            <w:shd w:fill="FFFFFF"/>
            <w:tcMar>
              <w:top w:w="80" w:type="dxa"/>
              <w:bottom w:w="80" w:type="dxa"/>
              <w:left w:w="100" w:type="dxa"/>
              <w:right w:w="100" w:type="dxa"/>
            </w:tcMar>
          </w:tcPr>
          <w:p>
            <w:r>
              <w:rPr>
                <w:sz w:val="19"/>
              </w:rPr>
              <w:t>14.2%</w:t>
            </w:r>
          </w:p>
        </w:tc>
        <w:tc>
          <w:tcPr>
            <w:tcW w:type="dxa" w:w="2736"/>
            <w:shd w:fill="FFFFFF"/>
            <w:tcMar>
              <w:top w:w="80" w:type="dxa"/>
              <w:bottom w:w="80" w:type="dxa"/>
              <w:left w:w="100" w:type="dxa"/>
              <w:right w:w="100" w:type="dxa"/>
            </w:tcMar>
          </w:tcPr>
          <w:p>
            <w:r>
              <w:rPr>
                <w:b/>
                <w:color w:val="1E3A8A"/>
                <w:sz w:val="19"/>
              </w:rPr>
              <w:t>1.2%</w:t>
            </w:r>
          </w:p>
        </w:tc>
      </w:tr>
      <w:tr>
        <w:tc>
          <w:tcPr>
            <w:tcW w:type="dxa" w:w="3168"/>
            <w:shd w:fill="F8FAFC"/>
            <w:tcMar>
              <w:top w:w="80" w:type="dxa"/>
              <w:bottom w:w="80" w:type="dxa"/>
              <w:left w:w="100" w:type="dxa"/>
              <w:right w:w="100" w:type="dxa"/>
            </w:tcMar>
          </w:tcPr>
          <w:p>
            <w:r>
              <w:rPr>
                <w:b/>
                <w:sz w:val="19"/>
              </w:rPr>
              <w:t>Escalation accuracy</w:t>
            </w:r>
          </w:p>
        </w:tc>
        <w:tc>
          <w:tcPr>
            <w:tcW w:type="dxa" w:w="2016"/>
            <w:shd w:fill="F8FAFC"/>
            <w:tcMar>
              <w:top w:w="80" w:type="dxa"/>
              <w:bottom w:w="80" w:type="dxa"/>
              <w:left w:w="100" w:type="dxa"/>
              <w:right w:w="100" w:type="dxa"/>
            </w:tcMar>
          </w:tcPr>
          <w:p>
            <w:r>
              <w:rPr>
                <w:sz w:val="19"/>
              </w:rPr>
              <w:t>39.0%</w:t>
            </w:r>
          </w:p>
        </w:tc>
        <w:tc>
          <w:tcPr>
            <w:tcW w:type="dxa" w:w="2160"/>
            <w:shd w:fill="F8FAFC"/>
            <w:tcMar>
              <w:top w:w="80" w:type="dxa"/>
              <w:bottom w:w="80" w:type="dxa"/>
              <w:left w:w="100" w:type="dxa"/>
              <w:right w:w="100" w:type="dxa"/>
            </w:tcMar>
          </w:tcPr>
          <w:p>
            <w:r>
              <w:rPr>
                <w:sz w:val="19"/>
              </w:rPr>
              <w:t>63.5%</w:t>
            </w:r>
          </w:p>
        </w:tc>
        <w:tc>
          <w:tcPr>
            <w:tcW w:type="dxa" w:w="2736"/>
            <w:shd w:fill="F8FAFC"/>
            <w:tcMar>
              <w:top w:w="80" w:type="dxa"/>
              <w:bottom w:w="80" w:type="dxa"/>
              <w:left w:w="100" w:type="dxa"/>
              <w:right w:w="100" w:type="dxa"/>
            </w:tcMar>
          </w:tcPr>
          <w:p>
            <w:r>
              <w:rPr>
                <w:b/>
                <w:color w:val="1E3A8A"/>
                <w:sz w:val="19"/>
              </w:rPr>
              <w:t>98.6%</w:t>
            </w:r>
          </w:p>
        </w:tc>
      </w:tr>
      <w:tr>
        <w:tc>
          <w:tcPr>
            <w:tcW w:type="dxa" w:w="3168"/>
            <w:shd w:fill="FFFFFF"/>
            <w:tcMar>
              <w:top w:w="80" w:type="dxa"/>
              <w:bottom w:w="80" w:type="dxa"/>
              <w:left w:w="100" w:type="dxa"/>
              <w:right w:w="100" w:type="dxa"/>
            </w:tcMar>
          </w:tcPr>
          <w:p>
            <w:r>
              <w:rPr>
                <w:b/>
                <w:sz w:val="19"/>
              </w:rPr>
              <w:t>Response consistency</w:t>
            </w:r>
          </w:p>
        </w:tc>
        <w:tc>
          <w:tcPr>
            <w:tcW w:type="dxa" w:w="2016"/>
            <w:shd w:fill="FFFFFF"/>
            <w:tcMar>
              <w:top w:w="80" w:type="dxa"/>
              <w:bottom w:w="80" w:type="dxa"/>
              <w:left w:w="100" w:type="dxa"/>
              <w:right w:w="100" w:type="dxa"/>
            </w:tcMar>
          </w:tcPr>
          <w:p>
            <w:r>
              <w:rPr>
                <w:sz w:val="19"/>
              </w:rPr>
              <w:t>59.3%</w:t>
            </w:r>
          </w:p>
        </w:tc>
        <w:tc>
          <w:tcPr>
            <w:tcW w:type="dxa" w:w="2160"/>
            <w:shd w:fill="FFFFFF"/>
            <w:tcMar>
              <w:top w:w="80" w:type="dxa"/>
              <w:bottom w:w="80" w:type="dxa"/>
              <w:left w:w="100" w:type="dxa"/>
              <w:right w:w="100" w:type="dxa"/>
            </w:tcMar>
          </w:tcPr>
          <w:p>
            <w:r>
              <w:rPr>
                <w:sz w:val="19"/>
              </w:rPr>
              <w:t>76.8%</w:t>
            </w:r>
          </w:p>
        </w:tc>
        <w:tc>
          <w:tcPr>
            <w:tcW w:type="dxa" w:w="2736"/>
            <w:shd w:fill="FFFFFF"/>
            <w:tcMar>
              <w:top w:w="80" w:type="dxa"/>
              <w:bottom w:w="80" w:type="dxa"/>
              <w:left w:w="100" w:type="dxa"/>
              <w:right w:w="100" w:type="dxa"/>
            </w:tcMar>
          </w:tcPr>
          <w:p>
            <w:r>
              <w:rPr>
                <w:b/>
                <w:color w:val="1E3A8A"/>
                <w:sz w:val="19"/>
              </w:rPr>
              <w:t>97.2%</w:t>
            </w:r>
          </w:p>
        </w:tc>
      </w:tr>
      <w:tr>
        <w:tc>
          <w:tcPr>
            <w:tcW w:type="dxa" w:w="3168"/>
            <w:shd w:fill="F8FAFC"/>
            <w:tcMar>
              <w:top w:w="80" w:type="dxa"/>
              <w:bottom w:w="80" w:type="dxa"/>
              <w:left w:w="100" w:type="dxa"/>
              <w:right w:w="100" w:type="dxa"/>
            </w:tcMar>
          </w:tcPr>
          <w:p>
            <w:r>
              <w:rPr>
                <w:b/>
                <w:sz w:val="19"/>
              </w:rPr>
              <w:t>Response latency</w:t>
            </w:r>
          </w:p>
        </w:tc>
        <w:tc>
          <w:tcPr>
            <w:tcW w:type="dxa" w:w="2016"/>
            <w:shd w:fill="F8FAFC"/>
            <w:tcMar>
              <w:top w:w="80" w:type="dxa"/>
              <w:bottom w:w="80" w:type="dxa"/>
              <w:left w:w="100" w:type="dxa"/>
              <w:right w:w="100" w:type="dxa"/>
            </w:tcMar>
          </w:tcPr>
          <w:p>
            <w:r>
              <w:rPr>
                <w:sz w:val="19"/>
              </w:rPr>
              <w:t>0.95 s</w:t>
            </w:r>
          </w:p>
        </w:tc>
        <w:tc>
          <w:tcPr>
            <w:tcW w:type="dxa" w:w="2160"/>
            <w:shd w:fill="F8FAFC"/>
            <w:tcMar>
              <w:top w:w="80" w:type="dxa"/>
              <w:bottom w:w="80" w:type="dxa"/>
              <w:left w:w="100" w:type="dxa"/>
              <w:right w:w="100" w:type="dxa"/>
            </w:tcMar>
          </w:tcPr>
          <w:p>
            <w:r>
              <w:rPr>
                <w:sz w:val="19"/>
              </w:rPr>
              <w:t>1.82 s</w:t>
            </w:r>
          </w:p>
        </w:tc>
        <w:tc>
          <w:tcPr>
            <w:tcW w:type="dxa" w:w="2736"/>
            <w:shd w:fill="F8FAFC"/>
            <w:tcMar>
              <w:top w:w="80" w:type="dxa"/>
              <w:bottom w:w="80" w:type="dxa"/>
              <w:left w:w="100" w:type="dxa"/>
              <w:right w:w="100" w:type="dxa"/>
            </w:tcMar>
          </w:tcPr>
          <w:p>
            <w:r>
              <w:rPr>
                <w:b/>
                <w:color w:val="1E3A8A"/>
                <w:sz w:val="19"/>
              </w:rPr>
              <w:t>2.45 s</w:t>
            </w:r>
          </w:p>
        </w:tc>
      </w:tr>
      <w:tr>
        <w:tc>
          <w:tcPr>
            <w:tcW w:type="dxa" w:w="3168"/>
            <w:shd w:fill="FFFFFF"/>
            <w:tcMar>
              <w:top w:w="80" w:type="dxa"/>
              <w:bottom w:w="80" w:type="dxa"/>
              <w:left w:w="100" w:type="dxa"/>
              <w:right w:w="100" w:type="dxa"/>
            </w:tcMar>
          </w:tcPr>
          <w:p>
            <w:r>
              <w:rPr>
                <w:b/>
                <w:sz w:val="19"/>
              </w:rPr>
              <w:t>Cost</w:t>
            </w:r>
          </w:p>
        </w:tc>
        <w:tc>
          <w:tcPr>
            <w:tcW w:type="dxa" w:w="2016"/>
            <w:shd w:fill="FFFFFF"/>
            <w:tcMar>
              <w:top w:w="80" w:type="dxa"/>
              <w:bottom w:w="80" w:type="dxa"/>
              <w:left w:w="100" w:type="dxa"/>
              <w:right w:w="100" w:type="dxa"/>
            </w:tcMar>
          </w:tcPr>
          <w:p>
            <w:r>
              <w:rPr>
                <w:sz w:val="19"/>
              </w:rPr>
              <w:t>$0.0018 / ticket</w:t>
            </w:r>
          </w:p>
        </w:tc>
        <w:tc>
          <w:tcPr>
            <w:tcW w:type="dxa" w:w="2160"/>
            <w:shd w:fill="FFFFFF"/>
            <w:tcMar>
              <w:top w:w="80" w:type="dxa"/>
              <w:bottom w:w="80" w:type="dxa"/>
              <w:left w:w="100" w:type="dxa"/>
              <w:right w:w="100" w:type="dxa"/>
            </w:tcMar>
          </w:tcPr>
          <w:p>
            <w:r>
              <w:rPr>
                <w:sz w:val="19"/>
              </w:rPr>
              <w:t>$0.0039 / ticket</w:t>
            </w:r>
          </w:p>
        </w:tc>
        <w:tc>
          <w:tcPr>
            <w:tcW w:type="dxa" w:w="2736"/>
            <w:shd w:fill="FFFFFF"/>
            <w:tcMar>
              <w:top w:w="80" w:type="dxa"/>
              <w:bottom w:w="80" w:type="dxa"/>
              <w:left w:w="100" w:type="dxa"/>
              <w:right w:w="100" w:type="dxa"/>
            </w:tcMar>
          </w:tcPr>
          <w:p>
            <w:r>
              <w:rPr>
                <w:b/>
                <w:color w:val="1E3A8A"/>
                <w:sz w:val="19"/>
              </w:rPr>
              <w:t>$0.0075 / ticket</w:t>
            </w:r>
          </w:p>
        </w:tc>
      </w:tr>
    </w:tbl>
    <w:p>
      <w:pPr>
        <w:pStyle w:val="Heading2"/>
        <w:spacing w:before="280" w:after="120"/>
      </w:pPr>
      <w:r>
        <w:rPr>
          <w:color w:val="4F46E5"/>
        </w:rPr>
        <w:t>11.4 Success-Metric Achievement</w:t>
      </w:r>
    </w:p>
    <w:p>
      <w:r>
        <w:t>The system is considered successful if it can:</w:t>
        <w:br/>
        <w:t>• Resolve suitable low-risk tickets autonomously without human intervention.</w:t>
        <w:br/>
        <w:t>• Strictly gate high-risk financial and hardware replacement operations for supervisor approval.</w:t>
        <w:br/>
        <w:t>• Eliminate hallucinated order states through real-time CRM database verification.</w:t>
        <w:br/>
        <w:t>• Maintain tenant isolation and prevent cross-customer data leakage.</w:t>
      </w:r>
    </w:p>
    <w:p>
      <w:pPr>
        <w:pStyle w:val="Heading1"/>
        <w:spacing w:before="280" w:after="120"/>
      </w:pPr>
      <w:r>
        <w:rPr>
          <w:color w:val="1E3A8A"/>
        </w:rPr>
        <w:t>12. Comparison, Innovation and Scalability</w:t>
      </w:r>
    </w:p>
    <w:p>
      <w:pPr>
        <w:pStyle w:val="Heading2"/>
        <w:spacing w:before="280" w:after="120"/>
      </w:pPr>
      <w:r>
        <w:rPr>
          <w:color w:val="4F46E5"/>
        </w:rPr>
        <w:t>12.1 Comparison with Baseline Approaches</w:t>
      </w:r>
    </w:p>
    <w:p>
      <w:r>
        <w:t>• Rule-Based Chatbots: Incapable of understanding natural language variations; zero reasoning capabilities across multi-hop data.</w:t>
        <w:br/>
        <w:t>• Standard RAG Systems: Can generate plausible text but cannot take database actions, verify transactional states, or enforce supervisor gating.</w:t>
        <w:br/>
        <w:t>• QuickRes Agentic AI: Combines conversational flexibility with deterministic tool execution and verified risk gating.</w:t>
      </w:r>
    </w:p>
    <w:p>
      <w:pPr>
        <w:pStyle w:val="Heading2"/>
        <w:spacing w:before="280" w:after="120"/>
      </w:pPr>
      <w:r>
        <w:rPr>
          <w:color w:val="4F46E5"/>
        </w:rPr>
        <w:t>12.2 Key Innovations</w:t>
      </w:r>
    </w:p>
    <w:p>
      <w:r>
        <w:t>1. Dynamic Multi-Hop ReAct Graph: The agent reasons autonomously on what tools to invoke rather than following static prompt pipelines.</w:t>
        <w:br/>
        <w:t>2. Stateful Multi-Turn Reference Correction: If a customer inputs a typo, wrong order, or mentions an order in a subsequent reply, the graph dynamically updates state and clarifies.</w:t>
        <w:br/>
        <w:t>3. Deterministic Account Isolation: Security guardrails at both the tool and reflection layers ensure complete tenant isolation.</w:t>
        <w:br/>
        <w:t>4. Risk-Gated Human Supervisor Review: High-risk financial transactions require human authorization before execution.</w:t>
      </w:r>
    </w:p>
    <w:p>
      <w:pPr>
        <w:pStyle w:val="Heading2"/>
        <w:spacing w:before="280" w:after="120"/>
      </w:pPr>
      <w:r>
        <w:rPr>
          <w:color w:val="4F46E5"/>
        </w:rPr>
        <w:t>12.3 Scalability &amp; Real-World Applicability</w:t>
      </w:r>
    </w:p>
    <w:p>
      <w:r>
        <w:t>The QuickRes architecture is engineered for horizontal cloud scalability. The FastAPI layer is stateless and can be containerized via Docker on Kubernetes clusters. The ChromaDB vector store can be scaled to distributed Pinecone or Milvus deployments, while SQLite can be migrated seamlessly to PostgreSQL / Amazon Aurora for enterprise transactional workloads processing millions of queries daily.</w:t>
      </w:r>
    </w:p>
    <w:p>
      <w:pPr>
        <w:pStyle w:val="Heading1"/>
        <w:spacing w:before="280" w:after="120"/>
      </w:pPr>
      <w:r>
        <w:rPr>
          <w:color w:val="1E3A8A"/>
        </w:rPr>
        <w:t>13. Conclusion and Future Work</w:t>
      </w:r>
    </w:p>
    <w:p>
      <w:pPr>
        <w:pStyle w:val="Heading2"/>
        <w:spacing w:before="280" w:after="120"/>
      </w:pPr>
      <w:r>
        <w:rPr>
          <w:color w:val="4F46E5"/>
        </w:rPr>
        <w:t>13.1 Project Summary</w:t>
      </w:r>
    </w:p>
    <w:p>
      <w:r>
        <w:t>QuickRes Agentic AI successfully demonstrates the transformative potential of Agentic AI in enterprise customer support. By fusing stateful graph orchestration, dense vector RAG, multi-tool database integration, and human-in-the-loop safety gates, QuickRes delivers an autonomous resolution system that cuts operational costs by over 90% while improving policy adherence to near-perfection.</w:t>
      </w:r>
    </w:p>
    <w:p>
      <w:pPr>
        <w:pStyle w:val="Heading2"/>
        <w:spacing w:before="280" w:after="120"/>
      </w:pPr>
      <w:r>
        <w:rPr>
          <w:color w:val="4F46E5"/>
        </w:rPr>
        <w:t>13.2 Future Work</w:t>
      </w:r>
    </w:p>
    <w:p>
      <w:r>
        <w:t>• Multimodal Document &amp; Receipt Scanning: Integrate vision LLMs to inspect photos of damaged packaging directly from customer uploads.</w:t>
        <w:br/>
        <w:t>• Real-Time Voice Agent Integration: Connect WebRTC audio streams to enable phone-based voice investigations.</w:t>
        <w:br/>
        <w:t>• Automated SOP Policy Learning: Ingest newly updated PDF policy documents dynamically and update vector embeddings in real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