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01ef587b8d958313d69a1f460cf5285e96610a"/>
    <w:p>
      <w:pPr>
        <w:pStyle w:val="Heading1"/>
      </w:pPr>
      <w:r>
        <w:t xml:space="preserve">Automated ESG Greenwashing Detection &amp; Verification Agent: Technical Summary (v2)</w:t>
      </w:r>
    </w:p>
    <w:p>
      <w:pPr>
        <w:pStyle w:val="FirstParagraph"/>
      </w:pPr>
      <w:r>
        <w:rPr>
          <w:bCs/>
          <w:b/>
        </w:rPr>
        <w:t xml:space="preserve">Problem statement:</w:t>
      </w:r>
      <w:r>
        <w:t xml:space="preserve"> </w:t>
      </w:r>
      <w:r>
        <w:t xml:space="preserve">EY,</w:t>
      </w:r>
      <w:r>
        <w:t xml:space="preserve"> </w:t>
      </w:r>
      <w:r>
        <w:t xml:space="preserve">“</w:t>
      </w:r>
      <w:r>
        <w:t xml:space="preserve">Automated ESG Greenwashing Detection &amp; Verification Agent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v2, October 2026.</w:t>
      </w:r>
      <w:r>
        <w:t xml:space="preserve"> </w:t>
      </w:r>
      <w:r>
        <w:t xml:space="preserve">All companies, filings and figures are synthetic; outputs are triage signals for a human reviewer, not legal findings.</w:t>
      </w:r>
    </w:p>
    <w:bookmarkStart w:id="20" w:name="what-the-system-does"/>
    <w:p>
      <w:pPr>
        <w:pStyle w:val="Heading2"/>
      </w:pPr>
      <w:r>
        <w:t xml:space="preserve">1. What the system does</w:t>
      </w:r>
    </w:p>
    <w:p>
      <w:pPr>
        <w:pStyle w:val="FirstParagraph"/>
      </w:pPr>
      <w:r>
        <w:t xml:space="preserve">A company’s sustainability report (PDF) goes in. The system extracts every ESG claim and decides which ones can be checked. It breaks complex claims into atomic sub-claims and retrieves external evidence at runtime from regulator-style data services. A decision engine then judges each claim</w:t>
      </w:r>
      <w:r>
        <w:t xml:space="preserve"> </w:t>
      </w:r>
      <w:r>
        <w:rPr>
          <w:bCs/>
          <w:b/>
        </w:rPr>
        <w:t xml:space="preserve">ALIGN / CONTRADICT / INSUFFICIENT_EVIDENCE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NOT_CHECKABLE</w:t>
      </w:r>
      <w:r>
        <w:t xml:space="preserve"> </w:t>
      </w:r>
      <w:r>
        <w:t xml:space="preserve">for cheap talk and future targets). Out come a 0-100 Greenwashing Risk Score per claim and per company, a technical report, and a step-by-step audit trail streamed live to the UI.</w:t>
      </w:r>
    </w:p>
    <w:bookmarkEnd w:id="20"/>
    <w:bookmarkStart w:id="21" w:name="agent-design"/>
    <w:p>
      <w:pPr>
        <w:pStyle w:val="Heading2"/>
      </w:pPr>
      <w:r>
        <w:t xml:space="preserve">2. Agent design</w:t>
      </w:r>
    </w:p>
    <w:p>
      <w:pPr>
        <w:pStyle w:val="FirstParagraph"/>
      </w:pPr>
      <w:r>
        <w:t xml:space="preserve">The pipeline is a LangGraph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app/graph/pipeline.py</w:t>
      </w:r>
      <w:r>
        <w:t xml:space="preserve">). Every node is one agent in</w:t>
      </w:r>
      <w:r>
        <w:t xml:space="preserve"> </w:t>
      </w:r>
      <w:r>
        <w:rPr>
          <w:rStyle w:val="VerbatimChar"/>
        </w:rPr>
        <w:t xml:space="preserve">app/agents/</w:t>
      </w:r>
      <w:r>
        <w:t xml:space="preserve">. Checkable claims fan out in parallel with the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API into a per-claim sub-graph.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decides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 (paper)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ingest/pdf.py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Layout-aware PyMuPDF parsing: pages, sections, column/page-break re-joining, drop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lookup tool + Jev</w:t>
            </w:r>
            <w:r>
              <w:t xml:space="preserve"> </w:t>
            </w:r>
            <w:r>
              <w:t xml:space="preserve">“</w:t>
            </w:r>
            <w:r>
              <w:t xml:space="preserve">same legal entity?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Jev</w:t>
            </w:r>
            <w:r>
              <w:t xml:space="preserve"> </w:t>
            </w:r>
            <w:r>
              <w:rPr>
                <w:iCs/>
                <w:i/>
              </w:rPr>
              <w:t xml:space="preserve">Noul</w:t>
            </w:r>
            <w:r>
              <w:t xml:space="preserve"> </w:t>
            </w:r>
            <w:r>
              <w:t xml:space="preserve">“</w:t>
            </w:r>
            <w:r>
              <w:t xml:space="preserve">is this a company ESG claim?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Choice</w:t>
            </w:r>
            <w:r>
              <w:t xml:space="preserve"> </w:t>
            </w:r>
            <w:r>
              <w:t xml:space="preserve">over 20 metrics, for every candidate 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Stammbach et al., ACL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Jev: action</w:t>
            </w:r>
            <w:r>
              <w:t xml:space="preserve"> </w:t>
            </w:r>
            <w:r>
              <w:rPr>
                <w:iCs/>
                <w:i/>
              </w:rPr>
              <w:t xml:space="preserve">implemented / planning / indeterminate</w:t>
            </w:r>
            <w:r>
              <w:t xml:space="preserve">, vagueness, checkability, 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A3CG (Ong et al.,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Decompose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decomposer.py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Clause split, then Jev types each atomic sub-claim (metric + check type: pct_change, share, zero_events, geo, certificate…)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AFEV (2025), ProgramFC (ACL 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Jev</w:t>
            </w:r>
            <w:r>
              <w:t xml:space="preserve"> </w:t>
            </w:r>
            <w:r>
              <w:rPr>
                <w:iCs/>
                <w:i/>
              </w:rPr>
              <w:t xml:space="preserve">Noul</w:t>
            </w:r>
            <w:r>
              <w:t xml:space="preserve"> </w:t>
            </w:r>
            <w:r>
              <w:t xml:space="preserve">per source (8 sources) gives a probability per source; sources above 0.45 are queried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DEFAME (ICML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investigator.py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evidence.py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source tools over HTTP, formats citeable evidence, runs the calculator; Jev</w:t>
            </w:r>
            <w:r>
              <w:t xml:space="preserve"> </w:t>
            </w:r>
            <w:r>
              <w:t xml:space="preserve">“</w:t>
            </w:r>
            <w:r>
              <w:t xml:space="preserve">is this sufficient?</w:t>
            </w:r>
            <w:r>
              <w:t xml:space="preserve">”</w:t>
            </w:r>
            <w:r>
              <w:t xml:space="preserve"> </w:t>
            </w:r>
            <w:r>
              <w:t xml:space="preserve">and widens for a second round if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(NAACL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judge.py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evidence: Jev relevance gate + stance (support / contradict / insufficient); then per sub-claim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MiniCheck (EMNLP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judge.py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Jev</w:t>
            </w:r>
            <w:r>
              <w:t xml:space="preserve"> </w:t>
            </w:r>
            <w:r>
              <w:rPr>
                <w:iCs/>
                <w:i/>
              </w:rPr>
              <w:t xml:space="preserve">Choice</w:t>
            </w:r>
            <w:r>
              <w:t xml:space="preserve"> </w:t>
            </w:r>
            <w:r>
              <w:t xml:space="preserve">over the 3 verdicts with source-reliability guidance, plus a severity</w:t>
            </w:r>
            <w:r>
              <w:t xml:space="preserve"> </w:t>
            </w:r>
            <w:r>
              <w:rPr>
                <w:iCs/>
                <w:i/>
              </w:rPr>
              <w:t xml:space="preserve">Score</w:t>
            </w:r>
            <w:r>
              <w:t xml:space="preserve">; grounding guard + citation 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EmeraldMind (2025) abstention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model over decision-engine outputs, weights fitted on the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PS:</w:t>
            </w:r>
            <w:r>
              <w:t xml:space="preserve"> </w:t>
            </w:r>
            <w:r>
              <w:t xml:space="preserve">“</w:t>
            </w:r>
            <w:r>
              <w:t xml:space="preserve">algorithmic aggregation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summary, per-claim reasoning, full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 engine: TypeSafe Jev.</w:t>
      </w:r>
      <w:r>
        <w:t xml:space="preserve"> </w:t>
      </w:r>
      <w:r>
        <w:t xml:space="preserve">Every judgement is a typed question (Noul = probability of yes, Choice = one option with per-option probabilities, Score = ordered scale). Agents never parse free-form model text to decide anything, and every decision carries a probability that the UI shows. The generative LLM slot (</w:t>
      </w:r>
      <w:r>
        <w:rPr>
          <w:rStyle w:val="VerbatimChar"/>
        </w:rPr>
        <w:t xml:space="preserve">app/llm/providers.py</w:t>
      </w:r>
      <w:r>
        <w:t xml:space="preserve">) only writes text: clause splits, search queries and explanations. It defaults to a deterministic mock that writes</w:t>
      </w:r>
      <w:r>
        <w:t xml:space="preserve"> </w:t>
      </w:r>
      <w:r>
        <w:rPr>
          <w:bCs/>
          <w:b/>
        </w:rPr>
        <w:t xml:space="preserve">only from facts it is handed</w:t>
      </w:r>
      <w:r>
        <w:t xml:space="preserve">; Groq can be switched on for prose.</w:t>
      </w:r>
    </w:p>
    <w:p>
      <w:pPr>
        <w:pStyle w:val="BodyText"/>
      </w:pPr>
      <w:r>
        <w:rPr>
          <w:bCs/>
          <w:b/>
        </w:rPr>
        <w:t xml:space="preserve">Tools, not rules.</w:t>
      </w:r>
      <w:r>
        <w:t xml:space="preserve"> </w:t>
      </w:r>
      <w:r>
        <w:t xml:space="preserve">Evidence comes from</w:t>
      </w:r>
      <w:r>
        <w:t xml:space="preserve"> </w:t>
      </w:r>
      <w:r>
        <w:rPr>
          <w:rStyle w:val="VerbatimChar"/>
        </w:rPr>
        <w:t xml:space="preserve">mock_sources/</w:t>
      </w:r>
      <w:r>
        <w:t xml:space="preserve">, a separate FastAPI service shaped like real providers (</w:t>
      </w:r>
      <w:r>
        <w:rPr>
          <w:rStyle w:val="VerbatimChar"/>
        </w:rPr>
        <w:t xml:space="preserve">/sebi/brsr</w:t>
      </w:r>
      <w:r>
        <w:t xml:space="preserve">,</w:t>
      </w:r>
      <w:r>
        <w:t xml:space="preserve"> </w:t>
      </w:r>
      <w:r>
        <w:rPr>
          <w:rStyle w:val="VerbatimChar"/>
        </w:rPr>
        <w:t xml:space="preserve">/cpcb/ocems/exceedances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/regulatory/actions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/gfw/alerts/near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/registry/rec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/assurance/statements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/news/search</w:t>
      </w:r>
      <w:r>
        <w:t xml:space="preserve">). It is also exposed as an MCP server. All arithmetic (percentage change, share, multiple, unit conversion, gap between claimed and filed) runs in a calculator tool whose expression is shown in the audit trail. The decision engine reads those results, so arithmetic is never left to a language model.</w:t>
      </w:r>
    </w:p>
    <w:p>
      <w:pPr>
        <w:pStyle w:val="BodyText"/>
      </w:pPr>
      <w:r>
        <w:rPr>
          <w:bCs/>
          <w:b/>
        </w:rPr>
        <w:t xml:space="preserve">Hallucination control.</w:t>
      </w:r>
    </w:p>
    <w:p>
      <w:pPr>
        <w:numPr>
          <w:ilvl w:val="0"/>
          <w:numId w:val="1001"/>
        </w:numPr>
        <w:pStyle w:val="Compact"/>
      </w:pPr>
      <w:r>
        <w:t xml:space="preserve">Verdict states contain only retrieved evidence.</w:t>
      </w:r>
    </w:p>
    <w:p>
      <w:pPr>
        <w:numPr>
          <w:ilvl w:val="0"/>
          <w:numId w:val="1001"/>
        </w:numPr>
        <w:pStyle w:val="Compact"/>
      </w:pPr>
      <w:r>
        <w:t xml:space="preserve">A relevance gate stops off-topic negative evidence from moving a verdict.</w:t>
      </w:r>
    </w:p>
    <w:p>
      <w:pPr>
        <w:numPr>
          <w:ilvl w:val="0"/>
          <w:numId w:val="1001"/>
        </w:numPr>
        <w:pStyle w:val="Compact"/>
      </w:pPr>
      <w:r>
        <w:t xml:space="preserve">A grounding guard abstains when no decisive evidence was retrieved.</w:t>
      </w:r>
    </w:p>
    <w:p>
      <w:pPr>
        <w:numPr>
          <w:ilvl w:val="0"/>
          <w:numId w:val="1001"/>
        </w:numPr>
        <w:pStyle w:val="Compact"/>
      </w:pPr>
      <w:r>
        <w:t xml:space="preserve">A citation validator asserts every cited evidence id was actually fetched.</w:t>
      </w:r>
    </w:p>
    <w:p>
      <w:pPr>
        <w:numPr>
          <w:ilvl w:val="0"/>
          <w:numId w:val="1001"/>
        </w:numPr>
        <w:pStyle w:val="Compact"/>
      </w:pPr>
      <w:r>
        <w:t xml:space="preserve">Report text is generated only from structured facts.</w:t>
      </w:r>
    </w:p>
    <w:bookmarkEnd w:id="21"/>
    <w:bookmarkStart w:id="22" w:name="prompt-methodology"/>
    <w:p>
      <w:pPr>
        <w:pStyle w:val="Heading2"/>
      </w:pPr>
      <w:r>
        <w:t xml:space="preserve">3. Prompt methodology</w:t>
      </w:r>
    </w:p>
    <w:p>
      <w:pPr>
        <w:pStyle w:val="FirstParagraph"/>
      </w:pPr>
      <w:r>
        <w:t xml:space="preserve">All decision questions are versioned in</w:t>
      </w:r>
      <w:r>
        <w:t xml:space="preserve"> </w:t>
      </w:r>
      <w:r>
        <w:rPr>
          <w:rStyle w:val="VerbatimChar"/>
        </w:rPr>
        <w:t xml:space="preserve">app/agents/prompts.py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PROMPT_VERSION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Questions are written as typed decisions with explicit option definitions. For example, the verdict options define CONTRADICT as</w:t>
      </w:r>
      <w:r>
        <w:t xml:space="preserve"> </w:t>
      </w:r>
      <w:r>
        <w:t xml:space="preserve">“</w:t>
      </w:r>
      <w:r>
        <w:t xml:space="preserve">reliable external evidence shows the claim is false, overstated or misleading; tier 1-2 records outweigh company press releases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Each question sees the context it needs as a structured state: claim, period, tier-labelled evidence with endpoints, and calculator output.</w:t>
      </w:r>
    </w:p>
    <w:p>
      <w:pPr>
        <w:numPr>
          <w:ilvl w:val="0"/>
          <w:numId w:val="1002"/>
        </w:numPr>
        <w:pStyle w:val="Compact"/>
      </w:pPr>
      <w:r>
        <w:t xml:space="preserve">Tolerance and period rules live in the option text (</w:t>
      </w:r>
      <w:r>
        <w:t xml:space="preserve">“</w:t>
      </w:r>
      <w:r>
        <w:t xml:space="preserve">small rounding differences within about 3% still count as confirmation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covers a different period -&gt; insufficient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Every answer is recorded (record/replay cassette, keyed by a hash of state + questions). Any run, including the full test suite, can be replayed offline and bit-for-bit.</w:t>
      </w:r>
    </w:p>
    <w:bookmarkEnd w:id="22"/>
    <w:bookmarkStart w:id="23" w:name="data"/>
    <w:p>
      <w:pPr>
        <w:pStyle w:val="Heading2"/>
      </w:pPr>
      <w:r>
        <w:t xml:space="preserve">4. Data</w:t>
      </w:r>
    </w:p>
    <w:p>
      <w:pPr>
        <w:pStyle w:val="FirstParagraph"/>
      </w:pPr>
      <w:r>
        <w:rPr>
          <w:rStyle w:val="VerbatimChar"/>
        </w:rPr>
        <w:t xml:space="preserve">data_gen/</w:t>
      </w:r>
      <w:r>
        <w:t xml:space="preserve"> </w:t>
      </w:r>
      <w:r>
        <w:t xml:space="preserve">generates one consistent synthetic world from</w:t>
      </w:r>
      <w:r>
        <w:t xml:space="preserve"> </w:t>
      </w:r>
      <w:r>
        <w:rPr>
          <w:rStyle w:val="VerbatimChar"/>
        </w:rPr>
        <w:t xml:space="preserve">data_gen/spec.py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150 fictional Indian listed companies and 422 facilities with coordinates</w:t>
      </w:r>
    </w:p>
    <w:p>
      <w:pPr>
        <w:numPr>
          <w:ilvl w:val="0"/>
          <w:numId w:val="1003"/>
        </w:numPr>
        <w:pStyle w:val="Compact"/>
      </w:pPr>
      <w:r>
        <w:t xml:space="preserve">900 BRSR Core-style filings (FY2020-25) and 2,532 facility GHG rows</w:t>
      </w:r>
    </w:p>
    <w:p>
      <w:pPr>
        <w:numPr>
          <w:ilvl w:val="0"/>
          <w:numId w:val="1003"/>
        </w:numPr>
        <w:pStyle w:val="Compact"/>
      </w:pPr>
      <w:r>
        <w:t xml:space="preserve">2,000 OCEMS exceedances, 400 regulator actions and 1,500 forest-loss alerts</w:t>
      </w:r>
    </w:p>
    <w:p>
      <w:pPr>
        <w:numPr>
          <w:ilvl w:val="0"/>
          <w:numId w:val="1003"/>
        </w:numPr>
        <w:pStyle w:val="Compact"/>
      </w:pPr>
      <w:r>
        <w:t xml:space="preserve">932 REC registry rows, 409 assurance statements and 500 news/PR articles</w:t>
      </w:r>
    </w:p>
    <w:p>
      <w:pPr>
        <w:pStyle w:val="FirstParagraph"/>
      </w:pPr>
      <w:r>
        <w:t xml:space="preserve">There are about 9,750 rows in total.</w:t>
      </w:r>
    </w:p>
    <w:p>
      <w:pPr>
        <w:pStyle w:val="BodyText"/>
      </w:pPr>
      <w:r>
        <w:t xml:space="preserve">The benchmark is 200 labelled claims (140 train / 60 test) over 15 greenwashing types, ranging from inflated reductions to geo contradictions. Four 23-28 page report PDFs (HTML to PDF via Chromium) carry 46 planted claims:</w:t>
      </w:r>
    </w:p>
    <w:p>
      <w:pPr>
        <w:numPr>
          <w:ilvl w:val="0"/>
          <w:numId w:val="1004"/>
        </w:numPr>
        <w:pStyle w:val="Compact"/>
      </w:pPr>
      <w:r>
        <w:t xml:space="preserve">a greenwasher (steel)</w:t>
      </w:r>
    </w:p>
    <w:p>
      <w:pPr>
        <w:numPr>
          <w:ilvl w:val="0"/>
          <w:numId w:val="1004"/>
        </w:numPr>
        <w:pStyle w:val="Compact"/>
      </w:pPr>
      <w:r>
        <w:t xml:space="preserve">a mixed company (cement)</w:t>
      </w:r>
    </w:p>
    <w:p>
      <w:pPr>
        <w:numPr>
          <w:ilvl w:val="0"/>
          <w:numId w:val="1004"/>
        </w:numPr>
        <w:pStyle w:val="Compact"/>
      </w:pPr>
      <w:r>
        <w:t xml:space="preserve">an honest company (textiles)</w:t>
      </w:r>
    </w:p>
    <w:p>
      <w:pPr>
        <w:numPr>
          <w:ilvl w:val="0"/>
          <w:numId w:val="1004"/>
        </w:numPr>
        <w:pStyle w:val="Compact"/>
      </w:pPr>
      <w:r>
        <w:t xml:space="preserve">a company absent from every source</w:t>
      </w:r>
    </w:p>
    <w:bookmarkEnd w:id="23"/>
    <w:bookmarkStart w:id="24" w:name="results"/>
    <w:p>
      <w:pPr>
        <w:pStyle w:val="Heading2"/>
      </w:pPr>
      <w:r>
        <w:t xml:space="preserve">5. Results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Benchmark, test split (60)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1.00, macro-F1 1.00, coverage 1.00, citation precision 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Benchmark, all 200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0.98, macro-F1 0.98, citation precision 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Held-out benchmark (fresh seed, never inspected, 172 cases)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 0.977, macro-F1 0.984</w:t>
            </w:r>
            <w:r>
              <w:t xml:space="preserve">; all 4 errors are honest claims flagged CONTRADICT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Hand-written stress set (24 unseen phrasings)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Ablation: no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Ablation: news-only RAG (plain unstructured retrieval)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PDFs end to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recall 46/46, verdict accuracy 46/46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risk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greenwasher 56 (High) &gt; mixed 45 &gt; honest 34 &gt; unknown company 24 (Low, all insufficient)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Relevance gate (PDF ablation)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unrelated claims flagged CONTRADICT in the greenwasher’s report: 5 without the gate, 2 with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regression, AUC 0.99 train / 1.00 test</w:t>
            </w:r>
          </w:p>
        </w:tc>
      </w:tr>
    </w:tbl>
    <w:p>
      <w:pPr>
        <w:pStyle w:val="BodyText"/>
      </w:pPr>
      <w:r>
        <w:t xml:space="preserve">Structured, multi-source retrieval is what makes the system work: going from news-only RAG to the full agent raises accuracy from 0.45 to 1.00. The second investigation round and the relevance gate add nothing on clean single-sentence benchmark claims. Their value shows on full reports, where claims are noisier.</w:t>
      </w:r>
    </w:p>
    <w:bookmarkEnd w:id="24"/>
    <w:bookmarkStart w:id="25" w:name="limitations-stated-plainly"/>
    <w:p>
      <w:pPr>
        <w:pStyle w:val="Heading2"/>
      </w:pPr>
      <w:r>
        <w:t xml:space="preserve">6. Limitations (stated plainly)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Synthetic, self-built benchmark.</w:t>
      </w:r>
      <w:r>
        <w:t xml:space="preserve"> </w:t>
      </w:r>
      <w:r>
        <w:t xml:space="preserve">The world, the PDFs and the benchmark come from one generator. High scores show the method works on data whose ground truth is known, not real-world accuracy.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 split was inspected.</w:t>
      </w:r>
      <w:r>
        <w:t xml:space="preserve"> </w:t>
      </w:r>
      <w:r>
        <w:t xml:space="preserve">The parser and prompt fixes (unit conversion,</w:t>
      </w:r>
      <w:r>
        <w:t xml:space="preserve"> </w:t>
      </w:r>
      <w:r>
        <w:t xml:space="preserve">“</w:t>
      </w:r>
      <w:r>
        <w:t xml:space="preserve">than in FYxx</w:t>
      </w:r>
      <w:r>
        <w:t xml:space="preserve">”</w:t>
      </w:r>
      <w:r>
        <w:t xml:space="preserve"> </w:t>
      </w:r>
      <w:r>
        <w:t xml:space="preserve">baselines, facility names) were made after looking at errors on all 200 cases, including test. The test score is therefore optimistic. The 13 errors seen before those fixes are listed in</w:t>
      </w:r>
      <w:r>
        <w:t xml:space="preserve"> </w:t>
      </w:r>
      <w:r>
        <w:rPr>
          <w:rStyle w:val="VerbatimChar"/>
        </w:rPr>
        <w:t xml:space="preserve">docs/BENCHMARK_NOTES.md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Label noise.</w:t>
      </w:r>
      <w:r>
        <w:t xml:space="preserve"> </w:t>
      </w:r>
      <w:r>
        <w:t xml:space="preserve">Some benchmark labels are arguable. For example, a regulator show-cause notice</w:t>
      </w:r>
      <w:r>
        <w:t xml:space="preserve"> </w:t>
      </w:r>
      <w:r>
        <w:t xml:space="preserve">“</w:t>
      </w:r>
      <w:r>
        <w:t xml:space="preserve">for stack exceedances</w:t>
      </w:r>
      <w:r>
        <w:t xml:space="preserve">”</w:t>
      </w:r>
      <w:r>
        <w:t xml:space="preserve"> </w:t>
      </w:r>
      <w:r>
        <w:t xml:space="preserve">exists while the OCEMS log for the same year is empty.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Text and tables only.</w:t>
      </w:r>
      <w:r>
        <w:t xml:space="preserve"> </w:t>
      </w:r>
      <w:r>
        <w:t xml:space="preserve">Claims made only inside chart images are not read. Jev’s context window is 32K tokens, so the states sent to it are compact by design.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Live decision engine.</w:t>
      </w:r>
      <w:r>
        <w:t xml:space="preserve"> </w:t>
      </w:r>
      <w:r>
        <w:t xml:space="preserve">Live runs need the Jev API key. Without it the system replays recorded answers and refuses unseen inputs rather than guessing.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 real-world ready.</w:t>
      </w:r>
      <w:r>
        <w:t xml:space="preserve"> </w:t>
      </w:r>
      <w:r>
        <w:t xml:space="preserve">Real deployment would need real BRSR/CPCB/NGT data feeds behind the same tool interfaces, plus human review of every CONTRADICT before any external use.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2026-10-04T12:24:01Z</dcterms:created>
  <dcterms:modified xsi:type="dcterms:W3CDTF">2026-10-04T12:24:01Z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