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 2 — Meta-Prompt and CO-STAR Q-GoT Vendor Evaluation</w:t>
      </w:r>
    </w:p>
    <w:p>
      <w:r>
        <w:rPr>
          <w:b/>
        </w:rPr>
        <w:t xml:space="preserve">Task: </w:t>
      </w:r>
      <w:r>
        <w:t>Draft a Meta-Prompt for specialized B2B CRM research, create a CO-STAR-structured Q-GoT evaluation prompt, calculate 1-year and 3-year TCO for each vendor, and document the verified output.</w:t>
      </w:r>
    </w:p>
    <w:p>
      <w:pPr>
        <w:pStyle w:val="Heading1"/>
      </w:pPr>
      <w:r>
        <w:t>Setup Steps</w:t>
      </w:r>
    </w:p>
    <w:p>
      <w:pPr>
        <w:pStyle w:val="ListBullet"/>
      </w:pPr>
      <w:r>
        <w:t>Meta-Prompt: Act as an expert Prompt Engineer and specialized B2B CRM Pricing and Feature Researcher, focused on Salesforce Enterprise/Sales Cloud, HubSpot Sales Hub, and Zoho CRM. Enforce verified licensing models and structured Markdown output.</w:t>
      </w:r>
    </w:p>
    <w:p>
      <w:pPr>
        <w:pStyle w:val="ListBullet"/>
      </w:pPr>
      <w:r>
        <w:t>Save the generated prompt block into prompt_portfolio.md.</w:t>
      </w:r>
    </w:p>
    <w:p>
      <w:pPr>
        <w:pStyle w:val="ListBullet"/>
      </w:pPr>
      <w:r>
        <w:t>CO-STAR Q-GoT Prompt: Use the established context (Apex Cloud Services, 150 representatives, and the three vendor cost structures), with the objective of calculating 1-year and 3-year TCO. System controls: TCO = User Count × Cost/User × Months + Setup Fee; use 12 and 36 months; check arithmetic. Style: McKinsey Strategy Consultant. Tone: objective, analytical, finance-first. Audience: CEO and Board of Directors. Response: structured Markdown analysis with documented trade-offs.</w:t>
      </w:r>
    </w:p>
    <w:p>
      <w:pPr>
        <w:pStyle w:val="ListBullet"/>
      </w:pPr>
      <w:r>
        <w:t>Execute the prompt and save the verified TCO output.</w:t>
      </w:r>
    </w:p>
    <w:p>
      <w:pPr>
        <w:pStyle w:val="Heading1"/>
      </w:pPr>
      <w:r>
        <w:t>Scenario Context</w:t>
      </w:r>
    </w:p>
    <w:p>
      <w:pPr>
        <w:pStyle w:val="ListBullet"/>
      </w:pPr>
      <w:r>
        <w:t>Organization: Apex Cloud Services</w:t>
      </w:r>
    </w:p>
    <w:p>
      <w:pPr>
        <w:pStyle w:val="ListBullet"/>
      </w:pPr>
      <w:r>
        <w:t>Active sales representatives: 150</w:t>
      </w:r>
    </w:p>
    <w:p>
      <w:pPr>
        <w:pStyle w:val="ListBullet"/>
      </w:pPr>
      <w:r>
        <w:t>Current state: offline spreadsheets with high data fragmentation</w:t>
      </w:r>
    </w:p>
    <w:p>
      <w:pPr>
        <w:pStyle w:val="ListBullet"/>
      </w:pPr>
      <w:r>
        <w:t>Requirement: REQ-002</w:t>
      </w:r>
    </w:p>
    <w:p>
      <w:pPr>
        <w:pStyle w:val="ListBullet"/>
      </w:pPr>
      <w:r>
        <w:t>Scenario pricing is treated as the fixed input for this exercise.</w:t>
      </w:r>
    </w:p>
    <w:p>
      <w:pPr>
        <w:pStyle w:val="Heading1"/>
      </w:pPr>
      <w:r>
        <w:t>Meta-Prompt</w:t>
      </w:r>
    </w:p>
    <w:p>
      <w:pPr/>
      <w:r>
        <w:rPr>
          <w:rFonts w:ascii="Courier New" w:hAnsi="Courier New"/>
          <w:sz w:val="18"/>
        </w:rPr>
        <w:t>You are an expert Prompt Engineer and specialized B2B CRM Pricing and Feature Researcher.</w:t>
        <w:br/>
        <w:br/>
        <w:t>Your task is to research and compare Salesforce Enterprise/Sales Cloud, HubSpot Sales Hub, and Zoho CRM for an enterprise CRM migration case.</w:t>
        <w:br/>
        <w:br/>
        <w:t>Research requirements:</w:t>
        <w:br/>
        <w:t>- Focus on the licensing/pricing model applicable to a 150-user sales-representative deployment.</w:t>
        <w:br/>
        <w:t>- Use official vendor sources wherever possible.</w:t>
        <w:br/>
        <w:t>- Verify whether pricing is per user/seat, the relevant billing cadence, edition/tier, onboarding/setup fees, and any material licensing conditions.</w:t>
        <w:br/>
        <w:t>- Clearly distinguish current verified public pricing from scenario-provided assumptions.</w:t>
        <w:br/>
        <w:t>- Do not invent enterprise pricing where the vendor requires a sales quote.</w:t>
        <w:br/>
        <w:t>- Record the source and retrieval date for every material pricing claim.</w:t>
        <w:br/>
        <w:t>- Return structured Markdown.</w:t>
        <w:br/>
        <w:t>- If a scenario-provided price differs from current official public pricing, preserve the scenario price for the exercise calculation but flag the difference explicitly.</w:t>
        <w:br/>
        <w:t>- Keep arithmetic transparent and reproducible.</w:t>
      </w:r>
    </w:p>
    <w:p>
      <w:pPr>
        <w:pStyle w:val="Heading1"/>
      </w:pPr>
      <w:r>
        <w:t>CO-STAR Q-GoT Prompt</w:t>
      </w:r>
    </w:p>
    <w:p>
      <w:r>
        <w:rPr>
          <w:rFonts w:ascii="Courier New" w:hAnsi="Courier New"/>
          <w:sz w:val="18"/>
        </w:rPr>
        <w:t>Context:</w:t>
        <w:br/>
        <w:t>Apex Cloud Services is migrating its CRM platform. The organization has 150 active sales representatives who currently track client data in offline spreadsheets with high data fragmentation. Requirement reference: REQ-002.</w:t>
        <w:br/>
        <w:br/>
        <w:t>The exercise provides these vendor cost structures:</w:t>
        <w:br/>
        <w:t>- Salesforce: $150/user/month + $25,000 setup</w:t>
        <w:br/>
        <w:t>- HubSpot: $90/user/month + $10,000 setup</w:t>
        <w:br/>
        <w:t>- Zoho: $40/user/month + $5,000 setup</w:t>
        <w:br/>
        <w:br/>
        <w:t>Objective:</w:t>
        <w:br/>
        <w:t>Run a Q-GoT vendor evaluation to calculate and compare 1-year and 3-year Total Cost of Ownership (TCO) for each vendor using the scenario cost structures.</w:t>
        <w:br/>
        <w:br/>
        <w:t>System Controls:</w:t>
        <w:br/>
        <w:t>- TCO = (User Count × Monthly Cost/User × Number of Months) + Setup Fee.</w:t>
        <w:br/>
        <w:t>- User Count = 150.</w:t>
        <w:br/>
        <w:t>- Use 12 months for 1-year TCO and 36 months for 3-year TCO.</w:t>
        <w:br/>
        <w:t>- Arithmetic must be checked before presenting results.</w:t>
        <w:br/>
        <w:t>- Distinguish scenario inputs from independently verified current vendor pricing.</w:t>
        <w:br/>
        <w:t>- Do not substitute current market pricing for the exercise inputs.</w:t>
        <w:br/>
        <w:t>- Identify important licensing-model caveats from official vendor documentation.</w:t>
        <w:br/>
        <w:br/>
        <w:t>Style: McKinsey Strategy Consultant.</w:t>
        <w:br/>
        <w:t>Tone: Objective, analytical, concise, finance-first, and evidence-based.</w:t>
        <w:br/>
        <w:t>Audience: CEO and Board of Directors.</w:t>
        <w:br/>
        <w:br/>
        <w:t>Response:</w:t>
        <w:br/>
        <w:t>Return structured Markdown with executive summary, verified licensing-model notes, scenario assumptions, TCO calculation table, vendor-by-vendor calculations, caveats, sources, and documented trade-offs.</w:t>
      </w:r>
    </w:p>
    <w:p>
      <w:pPr>
        <w:pStyle w:val="Heading1"/>
      </w:pPr>
      <w:r>
        <w:t>Verified TCO Output</w:t>
      </w:r>
    </w:p>
    <w:p>
      <w:r>
        <w:t>Formula: TCO = (150 users × monthly cost/user × number of months) + setup fee.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Vendor</w:t>
            </w:r>
          </w:p>
        </w:tc>
        <w:tc>
          <w:tcPr>
            <w:tcW w:type="dxa" w:w="1728"/>
          </w:tcPr>
          <w:p>
            <w:r>
              <w:t>Monthly / User</w:t>
            </w:r>
          </w:p>
        </w:tc>
        <w:tc>
          <w:tcPr>
            <w:tcW w:type="dxa" w:w="1728"/>
          </w:tcPr>
          <w:p>
            <w:r>
              <w:t>Setup</w:t>
            </w:r>
          </w:p>
        </w:tc>
        <w:tc>
          <w:tcPr>
            <w:tcW w:type="dxa" w:w="1728"/>
          </w:tcPr>
          <w:p>
            <w:r>
              <w:t>1-Year TCO</w:t>
            </w:r>
          </w:p>
        </w:tc>
        <w:tc>
          <w:tcPr>
            <w:tcW w:type="dxa" w:w="1728"/>
          </w:tcPr>
          <w:p>
            <w:r>
              <w:t>3-Year TCO</w:t>
            </w:r>
          </w:p>
        </w:tc>
      </w:tr>
      <w:tr>
        <w:tc>
          <w:tcPr>
            <w:tcW w:type="dxa" w:w="1728"/>
          </w:tcPr>
          <w:p>
            <w:r>
              <w:t>Salesforce</w:t>
            </w:r>
          </w:p>
        </w:tc>
        <w:tc>
          <w:tcPr>
            <w:tcW w:type="dxa" w:w="1728"/>
          </w:tcPr>
          <w:p>
            <w:r>
              <w:t>$150</w:t>
            </w:r>
          </w:p>
        </w:tc>
        <w:tc>
          <w:tcPr>
            <w:tcW w:type="dxa" w:w="1728"/>
          </w:tcPr>
          <w:p>
            <w:r>
              <w:t>$25,000</w:t>
            </w:r>
          </w:p>
        </w:tc>
        <w:tc>
          <w:tcPr>
            <w:tcW w:type="dxa" w:w="1728"/>
          </w:tcPr>
          <w:p>
            <w:r>
              <w:t>$295,000</w:t>
            </w:r>
          </w:p>
        </w:tc>
        <w:tc>
          <w:tcPr>
            <w:tcW w:type="dxa" w:w="1728"/>
          </w:tcPr>
          <w:p>
            <w:r>
              <w:t>$835,000</w:t>
            </w:r>
          </w:p>
        </w:tc>
      </w:tr>
      <w:tr>
        <w:tc>
          <w:tcPr>
            <w:tcW w:type="dxa" w:w="1728"/>
          </w:tcPr>
          <w:p>
            <w:r>
              <w:t>HubSpot</w:t>
            </w:r>
          </w:p>
        </w:tc>
        <w:tc>
          <w:tcPr>
            <w:tcW w:type="dxa" w:w="1728"/>
          </w:tcPr>
          <w:p>
            <w:r>
              <w:t>$90</w:t>
            </w:r>
          </w:p>
        </w:tc>
        <w:tc>
          <w:tcPr>
            <w:tcW w:type="dxa" w:w="1728"/>
          </w:tcPr>
          <w:p>
            <w:r>
              <w:t>$10,000</w:t>
            </w:r>
          </w:p>
        </w:tc>
        <w:tc>
          <w:tcPr>
            <w:tcW w:type="dxa" w:w="1728"/>
          </w:tcPr>
          <w:p>
            <w:r>
              <w:t>$172,000</w:t>
            </w:r>
          </w:p>
        </w:tc>
        <w:tc>
          <w:tcPr>
            <w:tcW w:type="dxa" w:w="1728"/>
          </w:tcPr>
          <w:p>
            <w:r>
              <w:t>$496,000</w:t>
            </w:r>
          </w:p>
        </w:tc>
      </w:tr>
      <w:tr>
        <w:tc>
          <w:tcPr>
            <w:tcW w:type="dxa" w:w="1728"/>
          </w:tcPr>
          <w:p>
            <w:r>
              <w:t>Zoho</w:t>
            </w:r>
          </w:p>
        </w:tc>
        <w:tc>
          <w:tcPr>
            <w:tcW w:type="dxa" w:w="1728"/>
          </w:tcPr>
          <w:p>
            <w:r>
              <w:t>$40</w:t>
            </w:r>
          </w:p>
        </w:tc>
        <w:tc>
          <w:tcPr>
            <w:tcW w:type="dxa" w:w="1728"/>
          </w:tcPr>
          <w:p>
            <w:r>
              <w:t>$5,000</w:t>
            </w:r>
          </w:p>
        </w:tc>
        <w:tc>
          <w:tcPr>
            <w:tcW w:type="dxa" w:w="1728"/>
          </w:tcPr>
          <w:p>
            <w:r>
              <w:t>$77,000</w:t>
            </w:r>
          </w:p>
        </w:tc>
        <w:tc>
          <w:tcPr>
            <w:tcW w:type="dxa" w:w="1728"/>
          </w:tcPr>
          <w:p>
            <w:r>
              <w:t>$221,000</w:t>
            </w:r>
          </w:p>
        </w:tc>
      </w:tr>
    </w:tbl>
    <w:p>
      <w:pPr>
        <w:pStyle w:val="Heading2"/>
      </w:pPr>
      <w:r>
        <w:t>Arithmetic Verification</w:t>
      </w:r>
    </w:p>
    <w:p>
      <w:pPr>
        <w:pStyle w:val="ListBullet"/>
      </w:pPr>
      <w:r>
        <w:t>Salesforce: 150 × $150 × 12 + $25,000 = $295,000</w:t>
      </w:r>
    </w:p>
    <w:p>
      <w:pPr>
        <w:pStyle w:val="ListBullet"/>
      </w:pPr>
      <w:r>
        <w:t>Salesforce: 150 × $150 × 36 + $25,000 = $835,000</w:t>
      </w:r>
    </w:p>
    <w:p>
      <w:pPr>
        <w:pStyle w:val="ListBullet"/>
      </w:pPr>
      <w:r>
        <w:t>HubSpot: 150 × $90 × 12 + $10,000 = $172,000</w:t>
      </w:r>
    </w:p>
    <w:p>
      <w:pPr>
        <w:pStyle w:val="ListBullet"/>
      </w:pPr>
      <w:r>
        <w:t>HubSpot: 150 × $90 × 36 + $10,000 = $496,000</w:t>
      </w:r>
    </w:p>
    <w:p>
      <w:pPr>
        <w:pStyle w:val="ListBullet"/>
      </w:pPr>
      <w:r>
        <w:t>Zoho: 150 × $40 × 12 + $5,000 = $77,000</w:t>
      </w:r>
    </w:p>
    <w:p>
      <w:pPr>
        <w:pStyle w:val="ListBullet"/>
      </w:pPr>
      <w:r>
        <w:t>Zoho: 150 × $40 × 36 + $5,000 = $221,000</w:t>
      </w:r>
    </w:p>
    <w:p>
      <w:pPr>
        <w:pStyle w:val="Heading1"/>
      </w:pPr>
      <w:r>
        <w:t>Licensing-Model Verification Note</w:t>
      </w:r>
    </w:p>
    <w:p>
      <w:r>
        <w:t>The TCO figures above are verified calculations using the exercise's supplied cost structures. They are not current vendor quotations. Current official vendor materials show that actual pricing varies by edition, seat type, billing cadence, geography, onboarding, and/or sales-quoted terms.</w:t>
      </w:r>
    </w:p>
    <w:p>
      <w:pPr>
        <w:pStyle w:val="ListBullet"/>
      </w:pPr>
      <w:r>
        <w:t>Salesforce: current public Sales Cloud pricing lists multiple editions and indicates that detailed pricing may require contacting sales.</w:t>
      </w:r>
    </w:p>
    <w:p>
      <w:pPr>
        <w:pStyle w:val="ListBullet"/>
      </w:pPr>
      <w:r>
        <w:t>HubSpot: Sales Hub is priced by seat, with different tiers and onboarding fees for Professional and Enterprise.</w:t>
      </w:r>
    </w:p>
    <w:p>
      <w:pPr>
        <w:pStyle w:val="ListBullet"/>
      </w:pPr>
      <w:r>
        <w:t>Zoho CRM: pricing is per user/month and varies by edition and billing cadence.</w:t>
      </w:r>
    </w:p>
    <w:p>
      <w:pPr>
        <w:pStyle w:val="Heading1"/>
      </w:pPr>
      <w:r>
        <w:t>Official Sources Checked</w:t>
      </w:r>
    </w:p>
    <w:p>
      <w:pPr>
        <w:pStyle w:val="ListBullet"/>
      </w:pPr>
      <w:r>
        <w:t>Salesforce Sales pricing — https://www.salesforce.com/in/sales/pricing/</w:t>
      </w:r>
    </w:p>
    <w:p>
      <w:pPr>
        <w:pStyle w:val="ListBullet"/>
      </w:pPr>
      <w:r>
        <w:t>HubSpot Sales pricing — https://www.hubspot.com/pricing/sales</w:t>
      </w:r>
    </w:p>
    <w:p>
      <w:pPr>
        <w:pStyle w:val="ListBullet"/>
      </w:pPr>
      <w:r>
        <w:t>Zoho CRM feature/pricing — https://www.zoho.com/crm/complete-feature-list.html</w:t>
      </w:r>
    </w:p>
    <w:p>
      <w:pPr>
        <w:pStyle w:val="ListBullet"/>
      </w:pPr>
      <w:r>
        <w:t>Zoho CRM billing FAQ — https://help.zoho.com/portal/en/kb/crm/faqs/billing-payments/articles/faqs-on-billing-and-payments</w:t>
      </w:r>
    </w:p>
    <w:p>
      <w:pPr>
        <w:pStyle w:val="Heading1"/>
      </w:pPr>
      <w:r>
        <w:t>Files Produced</w:t>
      </w:r>
    </w:p>
    <w:p>
      <w:r>
        <w:t>prompt_portfolio.md — contains the reusable Meta-Prompt, CO-STAR Q-GoT prompt, and executed TCO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