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6428" w14:textId="7CC57E10" w:rsidR="009B702D" w:rsidRPr="00CE0BFC" w:rsidRDefault="00A13753" w:rsidP="00A13753">
      <w:pPr>
        <w:pStyle w:val="Heading2"/>
        <w:jc w:val="center"/>
        <w:rPr>
          <w:rFonts w:ascii="Georgia" w:hAnsi="Georgia"/>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BFC">
        <w:rPr>
          <w:rFonts w:ascii="Georgia" w:hAnsi="Georgia"/>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Finding </w:t>
      </w:r>
      <w:r w:rsidR="00630D17" w:rsidRPr="00CE0BFC">
        <w:rPr>
          <w:rFonts w:ascii="Georgia" w:hAnsi="Georgia"/>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Fibonacci</w:t>
      </w:r>
    </w:p>
    <w:p w14:paraId="3F822173" w14:textId="7531649D" w:rsidR="00A13753" w:rsidRPr="00CE0BFC" w:rsidRDefault="00A13753" w:rsidP="00A13753">
      <w:pPr>
        <w:jc w:val="center"/>
        <w:rPr>
          <w:rFonts w:ascii="Georgia" w:hAnsi="Georgia"/>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BFC">
        <w:rPr>
          <w:rFonts w:ascii="Georgia" w:hAnsi="Georgia"/>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Applying Fibonacci in art, finance and the world</w:t>
      </w:r>
    </w:p>
    <w:p w14:paraId="68E9794C" w14:textId="77777777" w:rsidR="009B702D" w:rsidRPr="00CE0BFC" w:rsidRDefault="009B702D">
      <w:pPr>
        <w:contextualSpacing w:val="0"/>
        <w:rPr>
          <w:rFonts w:ascii="Georgia" w:hAnsi="Georgia"/>
        </w:rPr>
      </w:pPr>
    </w:p>
    <w:p w14:paraId="4D2C01E7" w14:textId="5C8748DF" w:rsidR="00BB440F" w:rsidRPr="001D052B" w:rsidRDefault="00BB440F">
      <w:pPr>
        <w:contextualSpacing w:val="0"/>
        <w:rPr>
          <w:rFonts w:ascii="Georgia" w:hAnsi="Georgia"/>
        </w:rPr>
      </w:pPr>
      <w:r>
        <w:rPr>
          <w:rFonts w:ascii="Georgia" w:hAnsi="Georgia"/>
          <w:b/>
        </w:rPr>
        <w:t>Team</w:t>
      </w:r>
      <w:r w:rsidRPr="001D052B">
        <w:rPr>
          <w:rFonts w:ascii="Georgia" w:hAnsi="Georgia"/>
        </w:rPr>
        <w:t xml:space="preserve">: </w:t>
      </w:r>
      <w:proofErr w:type="spellStart"/>
      <w:r w:rsidRPr="001D052B">
        <w:rPr>
          <w:rFonts w:ascii="Georgia" w:hAnsi="Georgia"/>
        </w:rPr>
        <w:t>Alfia</w:t>
      </w:r>
      <w:proofErr w:type="spellEnd"/>
      <w:r w:rsidRPr="001D052B">
        <w:rPr>
          <w:rFonts w:ascii="Georgia" w:hAnsi="Georgia"/>
        </w:rPr>
        <w:t>, Jill, Pragati</w:t>
      </w:r>
      <w:r w:rsidR="001D052B" w:rsidRPr="001D052B">
        <w:rPr>
          <w:rFonts w:ascii="Georgia" w:hAnsi="Georgia"/>
        </w:rPr>
        <w:t xml:space="preserve">, </w:t>
      </w:r>
      <w:proofErr w:type="spellStart"/>
      <w:r w:rsidR="001D052B" w:rsidRPr="001D052B">
        <w:rPr>
          <w:rFonts w:ascii="Georgia" w:hAnsi="Georgia"/>
        </w:rPr>
        <w:t>Saswati</w:t>
      </w:r>
      <w:proofErr w:type="spellEnd"/>
    </w:p>
    <w:p w14:paraId="20945492" w14:textId="77777777" w:rsidR="00BB440F" w:rsidRDefault="00BB440F">
      <w:pPr>
        <w:contextualSpacing w:val="0"/>
        <w:rPr>
          <w:rFonts w:ascii="Georgia" w:hAnsi="Georgia"/>
          <w:b/>
        </w:rPr>
      </w:pPr>
    </w:p>
    <w:p w14:paraId="748F9389" w14:textId="1916F3D1" w:rsidR="00A13753" w:rsidRPr="00CE0BFC" w:rsidRDefault="00731BE6">
      <w:pPr>
        <w:contextualSpacing w:val="0"/>
        <w:rPr>
          <w:rFonts w:ascii="Georgia" w:hAnsi="Georgia"/>
          <w:b/>
        </w:rPr>
      </w:pPr>
      <w:r w:rsidRPr="00CE0BFC">
        <w:rPr>
          <w:rFonts w:ascii="Georgia" w:hAnsi="Georgia"/>
          <w:b/>
        </w:rPr>
        <w:t>Objective:</w:t>
      </w:r>
    </w:p>
    <w:p w14:paraId="27B9EEE7" w14:textId="70C53729" w:rsidR="00A13753" w:rsidRPr="00CE0BFC" w:rsidRDefault="00A13753" w:rsidP="00A13753">
      <w:pPr>
        <w:pStyle w:val="ListParagraph"/>
        <w:numPr>
          <w:ilvl w:val="0"/>
          <w:numId w:val="3"/>
        </w:numPr>
        <w:contextualSpacing w:val="0"/>
        <w:rPr>
          <w:rFonts w:ascii="Georgia" w:hAnsi="Georgia"/>
        </w:rPr>
      </w:pPr>
      <w:r w:rsidRPr="00CE0BFC">
        <w:rPr>
          <w:rFonts w:ascii="Georgia" w:hAnsi="Georgia"/>
        </w:rPr>
        <w:t>Evaluate the image for an “aesthetically pleasing” score.</w:t>
      </w:r>
    </w:p>
    <w:p w14:paraId="4C4C2754" w14:textId="5DABD132" w:rsidR="00A13753" w:rsidRPr="00CE0BFC" w:rsidRDefault="00A13753" w:rsidP="00A13753">
      <w:pPr>
        <w:pStyle w:val="ListParagraph"/>
        <w:numPr>
          <w:ilvl w:val="0"/>
          <w:numId w:val="3"/>
        </w:numPr>
        <w:contextualSpacing w:val="0"/>
        <w:rPr>
          <w:rFonts w:ascii="Georgia" w:hAnsi="Georgia"/>
        </w:rPr>
      </w:pPr>
      <w:r w:rsidRPr="00CE0BFC">
        <w:rPr>
          <w:rFonts w:ascii="Georgia" w:hAnsi="Georgia"/>
        </w:rPr>
        <w:t>Stock market analysis and prediction.</w:t>
      </w:r>
    </w:p>
    <w:p w14:paraId="238560BB" w14:textId="54D3C61C" w:rsidR="00A13753" w:rsidRPr="00CE0BFC" w:rsidRDefault="00CE0BFC" w:rsidP="00A13753">
      <w:pPr>
        <w:pStyle w:val="ListParagraph"/>
        <w:numPr>
          <w:ilvl w:val="0"/>
          <w:numId w:val="3"/>
        </w:numPr>
        <w:contextualSpacing w:val="0"/>
        <w:rPr>
          <w:rFonts w:ascii="Georgia" w:hAnsi="Georgia"/>
        </w:rPr>
      </w:pPr>
      <w:r w:rsidRPr="00CE0BFC">
        <w:rPr>
          <w:rFonts w:ascii="Georgia" w:hAnsi="Georgia"/>
        </w:rPr>
        <w:t>Applying Fibonacci in finding happiness.</w:t>
      </w:r>
    </w:p>
    <w:p w14:paraId="20E26142" w14:textId="77777777" w:rsidR="00A13753" w:rsidRPr="00CE0BFC" w:rsidRDefault="00A13753">
      <w:pPr>
        <w:contextualSpacing w:val="0"/>
        <w:rPr>
          <w:rFonts w:ascii="Georgia" w:hAnsi="Georgia"/>
        </w:rPr>
      </w:pPr>
    </w:p>
    <w:p w14:paraId="5386D310" w14:textId="3AE931D1" w:rsidR="00731BE6" w:rsidRPr="00CE0BFC" w:rsidRDefault="00630D17">
      <w:pPr>
        <w:contextualSpacing w:val="0"/>
        <w:rPr>
          <w:rFonts w:ascii="Georgia" w:hAnsi="Georgia"/>
          <w:b/>
        </w:rPr>
      </w:pPr>
      <w:r w:rsidRPr="00CE0BFC">
        <w:rPr>
          <w:rFonts w:ascii="Georgia" w:hAnsi="Georgia"/>
          <w:b/>
        </w:rPr>
        <w:t>Expected Output</w:t>
      </w:r>
      <w:r w:rsidR="00731BE6" w:rsidRPr="00CE0BFC">
        <w:rPr>
          <w:rFonts w:ascii="Georgia" w:hAnsi="Georgia"/>
          <w:b/>
        </w:rPr>
        <w:t>:</w:t>
      </w:r>
    </w:p>
    <w:p w14:paraId="39619AC9" w14:textId="1E0005D6" w:rsidR="00AE2DA3" w:rsidRPr="00CE0BFC" w:rsidRDefault="00C537DD">
      <w:pPr>
        <w:contextualSpacing w:val="0"/>
        <w:rPr>
          <w:rFonts w:ascii="Georgia" w:hAnsi="Georgia"/>
        </w:rPr>
      </w:pPr>
      <w:r w:rsidRPr="00CE0BFC">
        <w:rPr>
          <w:rFonts w:ascii="Georgia" w:hAnsi="Georgia"/>
        </w:rPr>
        <w:t xml:space="preserve">The final project will consist of a website that will offer options to explore the </w:t>
      </w:r>
      <w:r w:rsidR="00630D17" w:rsidRPr="00CE0BFC">
        <w:rPr>
          <w:rFonts w:ascii="Georgia" w:hAnsi="Georgia"/>
        </w:rPr>
        <w:t>multiple</w:t>
      </w:r>
      <w:r w:rsidRPr="00CE0BFC">
        <w:rPr>
          <w:rFonts w:ascii="Georgia" w:hAnsi="Georgia"/>
        </w:rPr>
        <w:t xml:space="preserve"> applications of the golden ratio.</w:t>
      </w:r>
    </w:p>
    <w:p w14:paraId="01EC9D31" w14:textId="6D571EFD" w:rsidR="00600309" w:rsidRPr="00CE0BFC" w:rsidRDefault="00600309">
      <w:pPr>
        <w:contextualSpacing w:val="0"/>
        <w:rPr>
          <w:rFonts w:ascii="Georgia" w:hAnsi="Georgia"/>
        </w:rPr>
      </w:pPr>
    </w:p>
    <w:p w14:paraId="424CC6F9" w14:textId="1C59B2AF" w:rsidR="00600309" w:rsidRPr="009A355B" w:rsidRDefault="00600309">
      <w:pPr>
        <w:contextualSpacing w:val="0"/>
        <w:rPr>
          <w:rFonts w:ascii="Georgia" w:hAnsi="Georgia"/>
          <w:b/>
        </w:rPr>
      </w:pPr>
      <w:r w:rsidRPr="009A355B">
        <w:rPr>
          <w:rFonts w:ascii="Georgia" w:hAnsi="Georgia"/>
          <w:b/>
        </w:rPr>
        <w:t>W</w:t>
      </w:r>
      <w:r w:rsidR="00D779ED" w:rsidRPr="009A355B">
        <w:rPr>
          <w:rFonts w:ascii="Georgia" w:hAnsi="Georgia"/>
          <w:b/>
        </w:rPr>
        <w:t>hat is</w:t>
      </w:r>
      <w:r w:rsidRPr="009A355B">
        <w:rPr>
          <w:rFonts w:ascii="Georgia" w:hAnsi="Georgia"/>
          <w:b/>
        </w:rPr>
        <w:t xml:space="preserve"> Fibonacci:</w:t>
      </w:r>
    </w:p>
    <w:p w14:paraId="562A0F45" w14:textId="3C624121" w:rsidR="00D779ED" w:rsidRPr="00CE0BFC" w:rsidRDefault="00D779ED" w:rsidP="009520D9">
      <w:pPr>
        <w:spacing w:before="120" w:after="120"/>
        <w:rPr>
          <w:rFonts w:ascii="Georgia" w:hAnsi="Georgia"/>
          <w:highlight w:val="white"/>
        </w:rPr>
      </w:pPr>
      <w:r w:rsidRPr="00CE0BFC">
        <w:rPr>
          <w:rFonts w:ascii="Georgia" w:hAnsi="Georgia"/>
          <w:color w:val="222222"/>
          <w:highlight w:val="white"/>
        </w:rPr>
        <w:t xml:space="preserve">In </w:t>
      </w:r>
      <w:hyperlink r:id="rId6">
        <w:r w:rsidRPr="00CE0BFC">
          <w:rPr>
            <w:rFonts w:ascii="Georgia" w:hAnsi="Georgia"/>
            <w:color w:val="0B0080"/>
            <w:highlight w:val="white"/>
          </w:rPr>
          <w:t>mathematics</w:t>
        </w:r>
      </w:hyperlink>
      <w:r w:rsidRPr="00CE0BFC">
        <w:rPr>
          <w:rFonts w:ascii="Georgia" w:hAnsi="Georgia"/>
          <w:color w:val="222222"/>
          <w:highlight w:val="white"/>
        </w:rPr>
        <w:t xml:space="preserve">, the </w:t>
      </w:r>
      <w:r w:rsidRPr="00CE0BFC">
        <w:rPr>
          <w:rFonts w:ascii="Georgia" w:hAnsi="Georgia"/>
          <w:b/>
          <w:color w:val="222222"/>
          <w:highlight w:val="white"/>
        </w:rPr>
        <w:t>Fibonacci numbers</w:t>
      </w:r>
      <w:r w:rsidRPr="00CE0BFC">
        <w:rPr>
          <w:rFonts w:ascii="Georgia" w:hAnsi="Georgia"/>
          <w:color w:val="222222"/>
          <w:highlight w:val="white"/>
        </w:rPr>
        <w:t xml:space="preserve"> are the numbers in the following </w:t>
      </w:r>
      <w:hyperlink r:id="rId7">
        <w:r w:rsidRPr="00CE0BFC">
          <w:rPr>
            <w:rFonts w:ascii="Georgia" w:hAnsi="Georgia"/>
            <w:color w:val="0B0080"/>
            <w:highlight w:val="white"/>
            <w:u w:val="single"/>
          </w:rPr>
          <w:t>integer sequence</w:t>
        </w:r>
      </w:hyperlink>
      <w:r w:rsidRPr="00CE0BFC">
        <w:rPr>
          <w:rFonts w:ascii="Georgia" w:hAnsi="Georgia"/>
          <w:color w:val="222222"/>
          <w:highlight w:val="white"/>
        </w:rPr>
        <w:t xml:space="preserve">, called the </w:t>
      </w:r>
      <w:r w:rsidRPr="00CE0BFC">
        <w:rPr>
          <w:rFonts w:ascii="Georgia" w:hAnsi="Georgia"/>
          <w:b/>
          <w:color w:val="222222"/>
          <w:highlight w:val="white"/>
        </w:rPr>
        <w:t>Fibonacci sequence</w:t>
      </w:r>
      <w:r w:rsidRPr="00CE0BFC">
        <w:rPr>
          <w:rFonts w:ascii="Georgia" w:hAnsi="Georgia"/>
          <w:color w:val="222222"/>
          <w:highlight w:val="white"/>
        </w:rPr>
        <w:t xml:space="preserve">, and characterized by the fact that every number after the first two is the sum of the two preceding ones: </w:t>
      </w:r>
    </w:p>
    <w:p w14:paraId="481748DD" w14:textId="4BDA4D2E" w:rsidR="00D779ED" w:rsidRPr="00CE0BFC" w:rsidRDefault="00D779ED" w:rsidP="009520D9">
      <w:pPr>
        <w:spacing w:before="120" w:after="120"/>
        <w:contextualSpacing w:val="0"/>
        <w:jc w:val="center"/>
        <w:rPr>
          <w:rFonts w:ascii="Georgia" w:hAnsi="Georgia"/>
          <w:color w:val="222222"/>
          <w:highlight w:val="white"/>
        </w:rPr>
      </w:pPr>
      <w:r w:rsidRPr="00CE0BFC">
        <w:rPr>
          <w:rFonts w:ascii="Georgia" w:hAnsi="Georgia"/>
          <w:color w:val="222222"/>
          <w:highlight w:val="white"/>
        </w:rPr>
        <w:t>0, 1, 1 ,2 ,3, 5 ,8 ,13, 21, 34, 55, 144…etc.</w:t>
      </w:r>
    </w:p>
    <w:p w14:paraId="3603E97C" w14:textId="77777777" w:rsidR="00D779ED" w:rsidRPr="00CE0BFC" w:rsidRDefault="00D779ED" w:rsidP="009520D9">
      <w:pPr>
        <w:spacing w:before="120" w:after="120"/>
        <w:rPr>
          <w:rFonts w:ascii="Georgia" w:hAnsi="Georgia"/>
          <w:highlight w:val="white"/>
        </w:rPr>
      </w:pPr>
      <w:r w:rsidRPr="00CE0BFC">
        <w:rPr>
          <w:rFonts w:ascii="Georgia" w:hAnsi="Georgia"/>
          <w:color w:val="222222"/>
          <w:highlight w:val="white"/>
        </w:rPr>
        <w:t xml:space="preserve">Fibonacci numbers appear unexpectedly often in mathematics, so much so that there is an entire journal dedicated to their study, the </w:t>
      </w:r>
      <w:hyperlink r:id="rId8">
        <w:r w:rsidRPr="00CE0BFC">
          <w:rPr>
            <w:rFonts w:ascii="Georgia" w:hAnsi="Georgia"/>
            <w:i/>
            <w:color w:val="0B0080"/>
            <w:highlight w:val="white"/>
            <w:u w:val="single"/>
          </w:rPr>
          <w:t>Fibonacci Quarterly</w:t>
        </w:r>
      </w:hyperlink>
      <w:r w:rsidRPr="00CE0BFC">
        <w:rPr>
          <w:rFonts w:ascii="Georgia" w:hAnsi="Georgia"/>
          <w:highlight w:val="white"/>
        </w:rPr>
        <w:t xml:space="preserve">. </w:t>
      </w:r>
    </w:p>
    <w:p w14:paraId="50465A52" w14:textId="77777777" w:rsidR="00D779ED" w:rsidRPr="00CE0BFC" w:rsidRDefault="00D779ED" w:rsidP="00D779ED">
      <w:pPr>
        <w:spacing w:before="120" w:after="120"/>
        <w:ind w:left="720"/>
        <w:contextualSpacing w:val="0"/>
        <w:rPr>
          <w:rFonts w:ascii="Georgia" w:hAnsi="Georgia"/>
          <w:color w:val="222222"/>
          <w:highlight w:val="white"/>
        </w:rPr>
      </w:pPr>
    </w:p>
    <w:p w14:paraId="1267EE3B" w14:textId="68CE0E46" w:rsidR="00D779ED" w:rsidRPr="00CE0BFC" w:rsidRDefault="00D779ED" w:rsidP="00D779ED">
      <w:pPr>
        <w:contextualSpacing w:val="0"/>
        <w:jc w:val="center"/>
        <w:rPr>
          <w:rFonts w:ascii="Georgia" w:hAnsi="Georgia"/>
          <w:color w:val="4F81BD" w:themeColor="accent1"/>
          <w:highlight w:val="whit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BFC">
        <w:rPr>
          <w:rFonts w:ascii="Georgia" w:hAnsi="Georgia"/>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Fibonacci arrangement minimize space and maximize energy.</w:t>
      </w:r>
    </w:p>
    <w:p w14:paraId="6769F367" w14:textId="288BD375" w:rsidR="00D779ED" w:rsidRPr="00CE0BFC" w:rsidRDefault="00D779ED">
      <w:pPr>
        <w:contextualSpacing w:val="0"/>
        <w:rPr>
          <w:rFonts w:ascii="Georgia" w:hAnsi="Georgia"/>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3BFC62" w14:textId="4BB08493" w:rsidR="00CE0BFC" w:rsidRPr="00CE0BFC" w:rsidRDefault="00CE0BFC">
      <w:pPr>
        <w:contextualSpacing w:val="0"/>
        <w:rPr>
          <w:rFonts w:ascii="Georgia" w:hAnsi="Georgia"/>
          <w:b/>
        </w:rPr>
      </w:pPr>
      <w:r w:rsidRPr="00CE0BFC">
        <w:rPr>
          <w:rFonts w:ascii="Georgia" w:hAnsi="Georgia"/>
          <w:b/>
        </w:rPr>
        <w:t>Plan to proceed:</w:t>
      </w:r>
    </w:p>
    <w:p w14:paraId="4DDAC787" w14:textId="29608F99" w:rsidR="00CE0BFC" w:rsidRPr="00CE0BFC" w:rsidRDefault="00CE0BFC">
      <w:pPr>
        <w:contextualSpacing w:val="0"/>
        <w:rPr>
          <w:rFonts w:ascii="Georgia" w:hAnsi="Georgia"/>
        </w:rPr>
      </w:pPr>
      <w:r w:rsidRPr="00CE0BFC">
        <w:rPr>
          <w:rFonts w:ascii="Georgia" w:hAnsi="Georgia"/>
        </w:rPr>
        <w:t>We will start with the first objective and proceed in stages.</w:t>
      </w:r>
      <w:r w:rsidRPr="00CE0BFC">
        <w:rPr>
          <w:rFonts w:ascii="Georgia" w:hAnsi="Georgia"/>
        </w:rPr>
        <w:tab/>
      </w:r>
    </w:p>
    <w:p w14:paraId="11F04BE3" w14:textId="77777777" w:rsidR="00CE0BFC" w:rsidRPr="00CE0BFC" w:rsidRDefault="00CE0BFC">
      <w:pPr>
        <w:contextualSpacing w:val="0"/>
        <w:rPr>
          <w:rFonts w:ascii="Georgia" w:hAnsi="Georgia"/>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87AB08" w14:textId="7E42A4AA" w:rsidR="00D779ED" w:rsidRPr="009A355B" w:rsidRDefault="00630D17" w:rsidP="00D779ED">
      <w:pPr>
        <w:contextualSpacing w:val="0"/>
        <w:rPr>
          <w:rFonts w:ascii="Georgia" w:hAnsi="Georgia"/>
          <w:b/>
        </w:rPr>
      </w:pPr>
      <w:r w:rsidRPr="00CE0BFC">
        <w:rPr>
          <w:rFonts w:ascii="Georgia" w:hAnsi="Georgia"/>
          <w:b/>
        </w:rPr>
        <w:t>More on Fibonacci</w:t>
      </w:r>
      <w:r w:rsidR="009A355B">
        <w:rPr>
          <w:rFonts w:ascii="Georgia" w:hAnsi="Georgia"/>
          <w:b/>
        </w:rPr>
        <w:t>:</w:t>
      </w:r>
    </w:p>
    <w:p w14:paraId="707BDF64" w14:textId="79732086" w:rsidR="00AE2DA3" w:rsidRPr="009520D9" w:rsidRDefault="00D779ED" w:rsidP="009520D9">
      <w:pPr>
        <w:pStyle w:val="ListParagraph"/>
        <w:numPr>
          <w:ilvl w:val="0"/>
          <w:numId w:val="2"/>
        </w:numPr>
        <w:contextualSpacing w:val="0"/>
        <w:rPr>
          <w:rFonts w:ascii="Georgia" w:hAnsi="Georgia"/>
        </w:rPr>
      </w:pPr>
      <w:r w:rsidRPr="00CE0BFC">
        <w:rPr>
          <w:rFonts w:ascii="Georgia" w:hAnsi="Georgia"/>
        </w:rPr>
        <w:t>Engineering Connection</w:t>
      </w:r>
      <w:r w:rsidR="009520D9">
        <w:rPr>
          <w:rFonts w:ascii="Georgia" w:hAnsi="Georgia"/>
        </w:rPr>
        <w:t xml:space="preserve">: </w:t>
      </w:r>
      <w:r w:rsidRPr="009520D9">
        <w:rPr>
          <w:rFonts w:ascii="Georgia" w:hAnsi="Georgia"/>
        </w:rPr>
        <w:t>The Fibonacci sequence is widely used in engineering applications including computer data structures and sorting algorithms, financial engineering (Stock price prediction), audio compression, and architectural engineering. The Fibonacci sequence can be seen in nature in the spirals of a sunflower's seeds and the shape of a snail's shell. The Fibonacci sequence is also the basis for the golden ratio, which is a classical proportion used in architecture and design.</w:t>
      </w:r>
    </w:p>
    <w:p w14:paraId="08D5498B" w14:textId="77777777" w:rsidR="009520D9" w:rsidRPr="009520D9" w:rsidRDefault="00D779ED" w:rsidP="009520D9">
      <w:pPr>
        <w:numPr>
          <w:ilvl w:val="0"/>
          <w:numId w:val="1"/>
        </w:numPr>
        <w:spacing w:before="120" w:after="120"/>
        <w:rPr>
          <w:rFonts w:ascii="Georgia" w:hAnsi="Georgia"/>
          <w:color w:val="222222"/>
          <w:highlight w:val="white"/>
        </w:rPr>
      </w:pPr>
      <w:r w:rsidRPr="00CE0BFC">
        <w:rPr>
          <w:rFonts w:ascii="Georgia" w:hAnsi="Georgia"/>
          <w:color w:val="222222"/>
          <w:highlight w:val="white"/>
        </w:rPr>
        <w:t>Biological Connection</w:t>
      </w:r>
      <w:r w:rsidR="009520D9">
        <w:rPr>
          <w:rFonts w:ascii="Georgia" w:hAnsi="Georgia"/>
          <w:color w:val="222222"/>
          <w:highlight w:val="white"/>
        </w:rPr>
        <w:t xml:space="preserve">: </w:t>
      </w:r>
      <w:r w:rsidRPr="009520D9">
        <w:rPr>
          <w:rFonts w:ascii="Georgia" w:hAnsi="Georgia"/>
        </w:rPr>
        <w:t xml:space="preserve">Fibonacci series is useful at modeling growth of animal populations, plant cell growth, snowflake shape, plant shape, cryptography, and of course computer science along with DNA pattern of nature. </w:t>
      </w:r>
      <w:r w:rsidR="00C537DD" w:rsidRPr="009520D9">
        <w:rPr>
          <w:rFonts w:ascii="Georgia" w:hAnsi="Georgia"/>
        </w:rPr>
        <w:t xml:space="preserve">  </w:t>
      </w:r>
    </w:p>
    <w:p w14:paraId="39AE88B1" w14:textId="2131A6B6" w:rsidR="00D779ED" w:rsidRPr="009520D9" w:rsidRDefault="00C537DD" w:rsidP="009520D9">
      <w:pPr>
        <w:spacing w:before="120" w:after="120"/>
        <w:ind w:left="720"/>
        <w:rPr>
          <w:rFonts w:ascii="Georgia" w:hAnsi="Georgia"/>
          <w:color w:val="222222"/>
          <w:highlight w:val="white"/>
        </w:rPr>
      </w:pPr>
      <w:r w:rsidRPr="009520D9">
        <w:rPr>
          <w:rFonts w:ascii="Georgia" w:hAnsi="Georgia"/>
        </w:rPr>
        <w:t xml:space="preserve">   </w:t>
      </w:r>
      <w:r w:rsidR="00D779ED" w:rsidRPr="009520D9">
        <w:rPr>
          <w:rFonts w:ascii="Georgia" w:hAnsi="Georgia"/>
          <w:color w:val="222222"/>
          <w:highlight w:val="white"/>
        </w:rPr>
        <w:tab/>
      </w:r>
    </w:p>
    <w:p w14:paraId="32A342BE" w14:textId="210C57B5" w:rsidR="00AE2DA3" w:rsidRPr="001D052B" w:rsidRDefault="009A355B" w:rsidP="001D052B">
      <w:pPr>
        <w:numPr>
          <w:ilvl w:val="0"/>
          <w:numId w:val="1"/>
        </w:numPr>
        <w:spacing w:before="120" w:after="120"/>
        <w:rPr>
          <w:rFonts w:ascii="Georgia" w:hAnsi="Georgia"/>
          <w:highlight w:val="white"/>
        </w:rPr>
      </w:pPr>
      <w:r>
        <w:rPr>
          <w:rFonts w:ascii="Georgia" w:hAnsi="Georgia"/>
          <w:highlight w:val="white"/>
        </w:rPr>
        <w:t xml:space="preserve">Other Connections: </w:t>
      </w:r>
      <w:r w:rsidR="00C537DD" w:rsidRPr="00CE0BFC">
        <w:rPr>
          <w:rFonts w:ascii="Georgia" w:hAnsi="Georgia"/>
          <w:highlight w:val="white"/>
        </w:rPr>
        <w:t xml:space="preserve">Applications of Fibonacci numbers include computer algorithms such as the </w:t>
      </w:r>
      <w:hyperlink r:id="rId9">
        <w:r w:rsidR="00C537DD" w:rsidRPr="00CE0BFC">
          <w:rPr>
            <w:rFonts w:ascii="Georgia" w:hAnsi="Georgia"/>
            <w:color w:val="0B0080"/>
            <w:highlight w:val="white"/>
            <w:u w:val="single"/>
          </w:rPr>
          <w:t>Fibonacci search technique</w:t>
        </w:r>
      </w:hyperlink>
      <w:r w:rsidR="00C537DD" w:rsidRPr="00CE0BFC">
        <w:rPr>
          <w:rFonts w:ascii="Georgia" w:hAnsi="Georgia"/>
          <w:color w:val="222222"/>
          <w:highlight w:val="white"/>
        </w:rPr>
        <w:t xml:space="preserve"> and the </w:t>
      </w:r>
      <w:hyperlink r:id="rId10">
        <w:r w:rsidR="00C537DD" w:rsidRPr="00CE0BFC">
          <w:rPr>
            <w:rFonts w:ascii="Georgia" w:hAnsi="Georgia"/>
            <w:color w:val="0B0080"/>
            <w:highlight w:val="white"/>
            <w:u w:val="single"/>
          </w:rPr>
          <w:t>Fibonacci heap</w:t>
        </w:r>
      </w:hyperlink>
      <w:r w:rsidR="00C537DD" w:rsidRPr="00CE0BFC">
        <w:rPr>
          <w:rFonts w:ascii="Georgia" w:hAnsi="Georgia"/>
          <w:color w:val="222222"/>
          <w:highlight w:val="white"/>
        </w:rPr>
        <w:t xml:space="preserve"> data structure, and graphs called </w:t>
      </w:r>
      <w:hyperlink r:id="rId11">
        <w:r w:rsidR="00C537DD" w:rsidRPr="00CE0BFC">
          <w:rPr>
            <w:rFonts w:ascii="Georgia" w:hAnsi="Georgia"/>
            <w:color w:val="0B0080"/>
            <w:highlight w:val="white"/>
            <w:u w:val="single"/>
          </w:rPr>
          <w:t>Fibonacci cubes</w:t>
        </w:r>
      </w:hyperlink>
      <w:r w:rsidR="00C537DD" w:rsidRPr="00CE0BFC">
        <w:rPr>
          <w:rFonts w:ascii="Georgia" w:hAnsi="Georgia"/>
          <w:color w:val="222222"/>
          <w:highlight w:val="white"/>
        </w:rPr>
        <w:t xml:space="preserve"> used for interconnecting parallel and distributed systems. They also appear in biological settings,</w:t>
      </w:r>
      <w:hyperlink r:id="rId12" w:anchor="cite_note-S._Douady_and_Y._Couder_1996_255%E2%80%93274-11">
        <w:r w:rsidR="00C537DD" w:rsidRPr="00CE0BFC">
          <w:rPr>
            <w:rFonts w:ascii="Georgia" w:hAnsi="Georgia"/>
            <w:color w:val="0B0080"/>
            <w:highlight w:val="white"/>
            <w:u w:val="single"/>
            <w:vertAlign w:val="superscript"/>
          </w:rPr>
          <w:t>[11]</w:t>
        </w:r>
      </w:hyperlink>
      <w:r w:rsidR="00C537DD" w:rsidRPr="00CE0BFC">
        <w:rPr>
          <w:rFonts w:ascii="Georgia" w:hAnsi="Georgia"/>
          <w:color w:val="222222"/>
          <w:highlight w:val="white"/>
        </w:rPr>
        <w:t xml:space="preserve"> such as branching in trees, </w:t>
      </w:r>
      <w:hyperlink r:id="rId13">
        <w:r w:rsidR="00C537DD" w:rsidRPr="00CE0BFC">
          <w:rPr>
            <w:rFonts w:ascii="Georgia" w:hAnsi="Georgia"/>
            <w:color w:val="0B0080"/>
            <w:highlight w:val="white"/>
            <w:u w:val="single"/>
          </w:rPr>
          <w:t>phyllotaxis</w:t>
        </w:r>
      </w:hyperlink>
      <w:r w:rsidR="00C537DD" w:rsidRPr="00CE0BFC">
        <w:rPr>
          <w:rFonts w:ascii="Georgia" w:hAnsi="Georgia"/>
          <w:color w:val="222222"/>
          <w:highlight w:val="white"/>
        </w:rPr>
        <w:t xml:space="preserve"> (the arrangement of leaves on a stem), the fruit sprouts of a </w:t>
      </w:r>
      <w:hyperlink r:id="rId14">
        <w:r w:rsidR="00C537DD" w:rsidRPr="00CE0BFC">
          <w:rPr>
            <w:rFonts w:ascii="Georgia" w:hAnsi="Georgia"/>
            <w:color w:val="0B0080"/>
            <w:highlight w:val="white"/>
            <w:u w:val="single"/>
          </w:rPr>
          <w:t>pineapple</w:t>
        </w:r>
      </w:hyperlink>
      <w:r w:rsidR="00C537DD" w:rsidRPr="00CE0BFC">
        <w:rPr>
          <w:rFonts w:ascii="Georgia" w:hAnsi="Georgia"/>
          <w:color w:val="222222"/>
          <w:highlight w:val="white"/>
        </w:rPr>
        <w:t>,</w:t>
      </w:r>
      <w:hyperlink r:id="rId15" w:anchor="cite_note-Jones_2006_544-12">
        <w:r w:rsidR="00C537DD" w:rsidRPr="00CE0BFC">
          <w:rPr>
            <w:rFonts w:ascii="Georgia" w:hAnsi="Georgia"/>
            <w:color w:val="0B0080"/>
            <w:highlight w:val="white"/>
            <w:u w:val="single"/>
            <w:vertAlign w:val="superscript"/>
          </w:rPr>
          <w:t>[12]</w:t>
        </w:r>
      </w:hyperlink>
      <w:r w:rsidR="00C537DD" w:rsidRPr="00CE0BFC">
        <w:rPr>
          <w:rFonts w:ascii="Georgia" w:hAnsi="Georgia"/>
          <w:color w:val="222222"/>
          <w:highlight w:val="white"/>
        </w:rPr>
        <w:t xml:space="preserve"> the flowering of an </w:t>
      </w:r>
      <w:hyperlink r:id="rId16">
        <w:r w:rsidR="00C537DD" w:rsidRPr="00CE0BFC">
          <w:rPr>
            <w:rFonts w:ascii="Georgia" w:hAnsi="Georgia"/>
            <w:color w:val="0B0080"/>
            <w:highlight w:val="white"/>
            <w:u w:val="single"/>
          </w:rPr>
          <w:t>artichoke</w:t>
        </w:r>
      </w:hyperlink>
      <w:r w:rsidR="00C537DD" w:rsidRPr="00CE0BFC">
        <w:rPr>
          <w:rFonts w:ascii="Georgia" w:hAnsi="Georgia"/>
          <w:color w:val="222222"/>
          <w:highlight w:val="white"/>
        </w:rPr>
        <w:t xml:space="preserve">, an uncurling </w:t>
      </w:r>
      <w:hyperlink r:id="rId17">
        <w:r w:rsidR="00C537DD" w:rsidRPr="00CE0BFC">
          <w:rPr>
            <w:rFonts w:ascii="Georgia" w:hAnsi="Georgia"/>
            <w:color w:val="0B0080"/>
            <w:highlight w:val="white"/>
            <w:u w:val="single"/>
          </w:rPr>
          <w:t>fern</w:t>
        </w:r>
      </w:hyperlink>
      <w:r w:rsidR="00C537DD" w:rsidRPr="00CE0BFC">
        <w:rPr>
          <w:rFonts w:ascii="Georgia" w:hAnsi="Georgia"/>
          <w:color w:val="222222"/>
          <w:highlight w:val="white"/>
        </w:rPr>
        <w:t xml:space="preserve"> and the arrangement of a </w:t>
      </w:r>
      <w:hyperlink r:id="rId18">
        <w:r w:rsidR="00C537DD" w:rsidRPr="00CE0BFC">
          <w:rPr>
            <w:rFonts w:ascii="Georgia" w:hAnsi="Georgia"/>
            <w:color w:val="0B0080"/>
            <w:highlight w:val="white"/>
            <w:u w:val="single"/>
          </w:rPr>
          <w:t>pine cone</w:t>
        </w:r>
      </w:hyperlink>
      <w:r w:rsidR="00C537DD" w:rsidRPr="00CE0BFC">
        <w:rPr>
          <w:rFonts w:ascii="Georgia" w:hAnsi="Georgia"/>
          <w:color w:val="222222"/>
          <w:highlight w:val="white"/>
        </w:rPr>
        <w:t>'s bracts.</w:t>
      </w:r>
      <w:bookmarkStart w:id="0" w:name="_GoBack"/>
      <w:bookmarkEnd w:id="0"/>
    </w:p>
    <w:sectPr w:rsidR="00AE2DA3" w:rsidRPr="001D052B" w:rsidSect="009520D9">
      <w:pgSz w:w="12240" w:h="15840"/>
      <w:pgMar w:top="810" w:right="72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57D2"/>
    <w:multiLevelType w:val="hybridMultilevel"/>
    <w:tmpl w:val="B19E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D7688"/>
    <w:multiLevelType w:val="multilevel"/>
    <w:tmpl w:val="01DE1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E1FCE"/>
    <w:multiLevelType w:val="hybridMultilevel"/>
    <w:tmpl w:val="9888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A3"/>
    <w:rsid w:val="0013111F"/>
    <w:rsid w:val="001D052B"/>
    <w:rsid w:val="004457FD"/>
    <w:rsid w:val="0049423F"/>
    <w:rsid w:val="00600309"/>
    <w:rsid w:val="00630D17"/>
    <w:rsid w:val="00731BE6"/>
    <w:rsid w:val="00771D97"/>
    <w:rsid w:val="009520D9"/>
    <w:rsid w:val="009A355B"/>
    <w:rsid w:val="009B702D"/>
    <w:rsid w:val="00A13753"/>
    <w:rsid w:val="00AE2DA3"/>
    <w:rsid w:val="00BB440F"/>
    <w:rsid w:val="00C537DD"/>
    <w:rsid w:val="00CE0BFC"/>
    <w:rsid w:val="00D7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B778"/>
  <w15:docId w15:val="{77BF737B-5C5C-461A-BBFC-537D94B8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79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bonacci_Quarterly" TargetMode="External"/><Relationship Id="rId13" Type="http://schemas.openxmlformats.org/officeDocument/2006/relationships/hyperlink" Target="https://en.wikipedia.org/wiki/Phyllotaxis" TargetMode="External"/><Relationship Id="rId18" Type="http://schemas.openxmlformats.org/officeDocument/2006/relationships/hyperlink" Target="https://en.wikipedia.org/wiki/Pine_cone" TargetMode="External"/><Relationship Id="rId3" Type="http://schemas.openxmlformats.org/officeDocument/2006/relationships/styles" Target="styles.xml"/><Relationship Id="rId7" Type="http://schemas.openxmlformats.org/officeDocument/2006/relationships/hyperlink" Target="https://en.wikipedia.org/wiki/Integer_sequence" TargetMode="External"/><Relationship Id="rId12" Type="http://schemas.openxmlformats.org/officeDocument/2006/relationships/hyperlink" Target="https://en.wikipedia.org/wiki/Fibonacci_number" TargetMode="External"/><Relationship Id="rId17" Type="http://schemas.openxmlformats.org/officeDocument/2006/relationships/hyperlink" Target="https://en.wikipedia.org/wiki/Fern" TargetMode="External"/><Relationship Id="rId2" Type="http://schemas.openxmlformats.org/officeDocument/2006/relationships/numbering" Target="numbering.xml"/><Relationship Id="rId16" Type="http://schemas.openxmlformats.org/officeDocument/2006/relationships/hyperlink" Target="https://en.wikipedia.org/wiki/Artichok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Mathematics" TargetMode="External"/><Relationship Id="rId11" Type="http://schemas.openxmlformats.org/officeDocument/2006/relationships/hyperlink" Target="https://en.wikipedia.org/wiki/Fibonacci_cube" TargetMode="External"/><Relationship Id="rId5" Type="http://schemas.openxmlformats.org/officeDocument/2006/relationships/webSettings" Target="webSettings.xml"/><Relationship Id="rId15" Type="http://schemas.openxmlformats.org/officeDocument/2006/relationships/hyperlink" Target="https://en.wikipedia.org/wiki/Fibonacci_number" TargetMode="External"/><Relationship Id="rId10" Type="http://schemas.openxmlformats.org/officeDocument/2006/relationships/hyperlink" Target="https://en.wikipedia.org/wiki/Fibonacci_hea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bonacci_search_technique" TargetMode="External"/><Relationship Id="rId14" Type="http://schemas.openxmlformats.org/officeDocument/2006/relationships/hyperlink" Target="https://en.wikipedia.org/wiki/Pinea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1341-A256-43F6-8A67-F95DA498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Mehta</dc:creator>
  <cp:lastModifiedBy>Pragati Mehta</cp:lastModifiedBy>
  <cp:revision>2</cp:revision>
  <dcterms:created xsi:type="dcterms:W3CDTF">2018-10-13T17:24:00Z</dcterms:created>
  <dcterms:modified xsi:type="dcterms:W3CDTF">2018-10-13T17:24:00Z</dcterms:modified>
</cp:coreProperties>
</file>