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PLASMA DONOR APPLICATION</w:t>
      </w:r>
    </w:p>
    <w:p w:rsidR="00000000" w:rsidDel="00000000" w:rsidP="00000000" w:rsidRDefault="00000000" w:rsidRPr="00000000" w14:paraId="00000002">
      <w:pPr>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PROBLEM STATEMENT </w:t>
      </w:r>
    </w:p>
    <w:p w:rsidR="00000000" w:rsidDel="00000000" w:rsidP="00000000" w:rsidRDefault="00000000" w:rsidRPr="00000000" w14:paraId="00000004">
      <w:pPr>
        <w:jc w:val="both"/>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With rapid increase in the usage of social networks sites across the world, there is also a steady increase in blood donation requests as being noticed in the number of posts on these sites such as Facebook and twitter seeking blood donors. Finding blood donor is a challenging issue in almost every country. There are some blood donor finder applications in the market such as Blood app by Red Cross and Blood Donor Finder application by Neologix. However, more reliable applications that meet the needs of users are prompted.</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