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 Light" w:cs="Calibri Light" w:eastAsia="Calibri Light" w:hAnsi="Calibri Light"/>
          <w:b/>
          <w:bCs/>
          <w:color w:val="1F4E79"/>
          <w:sz w:val="40"/>
          <w:szCs w:val="40"/>
        </w:rPr>
        <w:t xml:space="preserve">TrustMed AI</w:t>
      </w:r>
    </w:p>
    <w:p>
      <w:pPr>
        <w:spacing w:after="80"/>
        <w:jc w:val="center"/>
      </w:pPr>
      <w:r>
        <w:rPr>
          <w:rFonts w:ascii="Calibri Light" w:cs="Calibri Light" w:eastAsia="Calibri Light" w:hAnsi="Calibri Light"/>
          <w:color w:val="2E75B6"/>
          <w:sz w:val="28"/>
          <w:szCs w:val="28"/>
        </w:rPr>
        <w:t xml:space="preserve">Neuro-Symbolic Clinical Decision Support System</w:t>
      </w:r>
    </w:p>
    <w:p>
      <w:pPr>
        <w:spacing w:after="60"/>
        <w:jc w:val="center"/>
      </w:pPr>
      <w:r>
        <w:rPr>
          <w:color w:val="666666"/>
          <w:sz w:val="22"/>
          <w:szCs w:val="22"/>
        </w:rPr>
        <w:t xml:space="preserve">Arizona State University  |  Spring 2026</w:t>
      </w:r>
    </w:p>
    <w:p>
      <w:pPr>
        <w:spacing w:after="240"/>
        <w:jc w:val="center"/>
      </w:pPr>
      <w:r>
        <w:rPr>
          <w:color w:val="666666"/>
          <w:sz w:val="20"/>
          <w:szCs w:val="20"/>
        </w:rPr>
        <w:t xml:space="preserve">Team: Pragyan Borthakur (pborthak@asu.edu) and Team Members</w:t>
      </w:r>
    </w:p>
    <w:p>
      <w:pPr>
        <w:pStyle w:val="Heading1"/>
      </w:pPr>
      <w:r>
        <w:t xml:space="preserve">1. Problem Statement</w:t>
      </w:r>
    </w:p>
    <w:p>
      <w:pPr>
        <w:spacing w:after="120"/>
      </w:pPr>
      <w:r>
        <w:t xml:space="preserve">Healthcare professionals face a critical challenge: clinical decision-making requires synthesizing fragmented information across patient records, medical literature, imaging data, and drug interactions, often under severe time pressure. Studies show physicians spend nearly 50% of their time on documentation rather than patient care, while diagnostic errors contribute to an estimated 40,000 to 80,000 deaths annually in the U.S. alone.</w:t>
      </w:r>
    </w:p>
    <w:p>
      <w:pPr>
        <w:spacing w:after="120"/>
      </w:pPr>
      <w:r>
        <w:t xml:space="preserve">Current AI solutions suffer from two fundamental limitations. First, </w:t>
      </w:r>
      <w:r>
        <w:rPr>
          <w:b/>
          <w:bCs/>
        </w:rPr>
        <w:t xml:space="preserve">hallucination risk</w:t>
      </w:r>
      <w:r>
        <w:t xml:space="preserve">: large language models generate plausible but medically inaccurate responses without verification. Second, </w:t>
      </w:r>
      <w:r>
        <w:rPr>
          <w:b/>
          <w:bCs/>
        </w:rPr>
        <w:t xml:space="preserve">information silos</w:t>
      </w:r>
      <w:r>
        <w:t xml:space="preserve">: existing tools query single data sources, missing critical cross-domain insights such as drug-disease interactions that become visible only when combining patient history with pharmaceutical knowledge.</w:t>
      </w:r>
    </w:p>
    <w:p>
      <w:pPr>
        <w:spacing w:after="100"/>
      </w:pPr>
      <w:r>
        <w:rPr>
          <w:b/>
          <w:bCs/>
          <w:color w:val="1F4E79"/>
        </w:rPr>
        <w:t xml:space="preserve">Requirements for Solution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Integrate heterogeneous data sources in real-time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Provide explainable reasoning with source citations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Include safety mechanisms to catch contraindications before delivery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Reduce clinical documentation time through automated SOAP note generation</w:t>
      </w:r>
    </w:p>
    <w:p>
      <w:pPr>
        <w:spacing w:after="160"/>
      </w:pPr>
      <w:r>
        <w:rPr>
          <w:b/>
          <w:bCs/>
          <w:color w:val="1F4E79"/>
        </w:rPr>
        <w:t xml:space="preserve">Broader Impact: </w:t>
      </w:r>
      <w:r>
        <w:t xml:space="preserve">Successful implementation would reduce diagnostic errors, decrease physician burnout, and improve patient outcomes, particularly in under-resourced settings where specialist consultations are limited.</w:t>
      </w:r>
    </w:p>
    <w:p>
      <w:pPr>
        <w:pStyle w:val="Heading1"/>
      </w:pPr>
      <w:r>
        <w:t xml:space="preserve">2. Data Sources</w:t>
      </w:r>
    </w:p>
    <w:p>
      <w:pPr>
        <w:spacing w:after="120"/>
      </w:pPr>
      <w:r>
        <w:t xml:space="preserve">TrustMed AI leverages four heterogeneous, large-scale datasets to power its multimodal retrieval system: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648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Dataset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Scale</w:t>
            </w:r>
          </w:p>
        </w:tc>
        <w:tc>
          <w:tcPr>
            <w:tcW w:type="dxa" w:w="6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Purpose and Structure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MIMIC-IV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40K+ patients</w:t>
            </w:r>
          </w:p>
        </w:tc>
        <w:tc>
          <w:tcPr>
            <w:tcW w:type="dxa" w:w="6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ICU patient records including vitals, diagnoses, and medications. SQLite database with de-identified clinical data. Publicly available via PhysioNet.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Disease-Symptom DB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400+ diseases</w:t>
            </w:r>
          </w:p>
        </w:tc>
        <w:tc>
          <w:tcPr>
            <w:tcW w:type="dxa" w:w="6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Structured relationships for Neo4j knowledge graph. Contains disease-symptom-treatment mappings extracted via biomedical NER using spaCy.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Medical Imaging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3,800+ images</w:t>
            </w:r>
          </w:p>
        </w:tc>
        <w:tc>
          <w:tcPr>
            <w:tcW w:type="dxa" w:w="6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ROCO dataset plus 1,800 labeled chest X-rays (PNEUMONIA/NORMAL) from Kaggle. Embedded via BiomedCLIP for visual similarity search.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Medical Literature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Vector DB</w:t>
            </w:r>
          </w:p>
        </w:tc>
        <w:tc>
          <w:tcPr>
            <w:tcW w:type="dxa" w:w="6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Clinical guidelines from WHO and CDC embedded in ChromaDB for RAG retrieval. Chunked and indexed using sentence-transformers (all-MiniLM-L6-v2).</w:t>
            </w:r>
          </w:p>
        </w:tc>
      </w:tr>
    </w:tbl>
    <w:p>
      <w:pPr>
        <w:spacing w:before="160" w:after="160"/>
      </w:pPr>
      <w:r>
        <w:rPr>
          <w:b/>
          <w:bCs/>
          <w:color w:val="1F4E79"/>
        </w:rPr>
        <w:t xml:space="preserve">Data Challenges and Preprocessing: </w:t>
      </w:r>
      <w:r>
        <w:t xml:space="preserve">MIMIC-IV requires handling missing values, normalizing medication names, and temporal alignment. Knowledge graph construction involves entity extraction using spaCy's biomedical NER model (en_ner_bc5cdr_md) and relationship deduplication via MERGE operations. Image data requires preprocessing for BiomedCLIP compatibility. All patient data is pre-anonymized per HIPAA standards.</w:t>
      </w:r>
    </w:p>
    <w:p>
      <w:pPr>
        <w:pStyle w:val="Heading1"/>
      </w:pPr>
      <w:r>
        <w:t xml:space="preserve">3. Methodology</w:t>
      </w:r>
    </w:p>
    <w:p>
      <w:pPr>
        <w:spacing w:after="120"/>
      </w:pPr>
      <w:r>
        <w:t xml:space="preserve">TrustMed AI implements a neuro-symbolic hybrid architecture that combines neural retrieval with symbolic knowledge graphs. The system processes queries through four parallel knowledge sources before synthesizing a verified response.</w:t>
      </w:r>
    </w:p>
    <w:p>
      <w:pPr>
        <w:spacing w:after="80"/>
      </w:pPr>
      <w:r>
        <w:rPr>
          <w:b/>
          <w:bCs/>
          <w:color w:val="1F4E79"/>
        </w:rPr>
        <w:t xml:space="preserve">Core Technical Components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Hybrid Retrieval Pipeline: </w:t>
      </w:r>
      <w:r>
        <w:t xml:space="preserve">Parallel execution of vector search (ChromaDB with sentence-transformers) and graph queries (Neo4j Cypher via LangChain's GraphCypherQAChain) using asyncio for optimal latency.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Cross-Encoder Reranking: </w:t>
      </w:r>
      <w:r>
        <w:t xml:space="preserve">MS-MARCO cross-encoder reranks 30 initial candidates to the top 3 most relevant results, significantly improving precision over bi-encoder retrieval alone.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Multimodal Vision Agent: </w:t>
      </w:r>
      <w:r>
        <w:t xml:space="preserve">LLaMA 3.2 Vision analyzes uploaded medical images while BiomedCLIP generates embeddings for visual similarity search against the labeled X-ray database.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Self-Reflective Safety Layer: </w:t>
      </w:r>
      <w:r>
        <w:t xml:space="preserve">A dedicated LLM critic reviews every generated response for contraindications, dosage errors, and hallucinated treatments before delivery to the user.</w:t>
      </w:r>
    </w:p>
    <w:p>
      <w:pPr>
        <w:spacing w:after="60"/>
      </w:pPr>
      <w:r>
        <w:rPr>
          <w:b/>
          <w:bCs/>
          <w:color w:val="1F4E79"/>
        </w:rPr>
        <w:t xml:space="preserve">Validation Strategy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Retrieval quality measured via Precision@K and MRR against curated medical QA benchmarks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Safety layer evaluated on synthetic adversarial cases with known contraindications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End-to-end user study with clinician feedback on response accuracy and utility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A/B testing of reranker impact on relevance scores</w:t>
      </w:r>
    </w:p>
    <w:p>
      <w:r>
        <w:br w:type="page"/>
      </w:r>
    </w:p>
    <w:p>
      <w:pPr>
        <w:pStyle w:val="Heading1"/>
      </w:pPr>
      <w:r>
        <w:t xml:space="preserve">4. Project Management</w:t>
      </w:r>
    </w:p>
    <w:p>
      <w:pPr>
        <w:spacing w:after="100"/>
      </w:pPr>
      <w:r>
        <w:rPr>
          <w:b/>
          <w:bCs/>
          <w:color w:val="1F4E79"/>
        </w:rPr>
        <w:t xml:space="preserve">Timeline and Milestones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80"/>
        <w:gridCol w:w="300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Deliverables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Target Date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Data Integration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MIMIC-IV + Neo4j graph + ChromaDB operational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E7D32"/>
              </w:rPr>
              <w:t xml:space="preserve">Completed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Core Pipeline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Hybrid retrieval + reranking + vision agent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Feb 15, 2026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Safety Layer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Self-reflective critic + SOAP note generator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Mar 1, 2026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Evaluation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Quantitative benchmarks + user study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Mar 20, 2026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Final Delivery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Documentation + demo + final report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Apr 20, 2026</w:t>
            </w:r>
          </w:p>
        </w:tc>
      </w:tr>
    </w:tbl>
    <w:p>
      <w:pPr>
        <w:spacing w:before="200" w:after="100"/>
      </w:pPr>
      <w:r>
        <w:rPr>
          <w:b/>
          <w:bCs/>
          <w:color w:val="1F4E79"/>
        </w:rPr>
        <w:t xml:space="preserve">Risk Identification and Mitigation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000"/>
        <w:gridCol w:w="3980"/>
      </w:tblGrid>
      <w:tr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Monitoring Metric</w:t>
            </w:r>
          </w:p>
        </w:tc>
        <w:tc>
          <w:tcPr>
            <w:tcW w:type="dxa" w:w="39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Mitigation Strategy</w:t>
            </w:r>
          </w:p>
        </w:tc>
      </w:tr>
      <w:tr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LLM Hallucination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Percentage of responses flagged by safety critic; manual audit of 50 samples weekly</w:t>
            </w:r>
          </w:p>
        </w:tc>
        <w:tc>
          <w:tcPr>
            <w:tcW w:type="dxa" w:w="39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Dual-LLM architecture ensures every response is verified. Fallback to structured retrieval if hallucination rate exceeds 5%.</w:t>
            </w:r>
          </w:p>
        </w:tc>
      </w:tr>
      <w:tr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Retrieval Quality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Precision@3 on medical QA test set; weekly regression tests</w:t>
            </w:r>
          </w:p>
        </w:tc>
        <w:tc>
          <w:tcPr>
            <w:tcW w:type="dxa" w:w="39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Cross-encoder reranking boosts precision. If below 70%, expand knowledge graph with additional medical ontologies.</w:t>
            </w:r>
          </w:p>
        </w:tc>
      </w:tr>
      <w:tr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API Rate Limits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Daily token usage; response latency P95</w:t>
            </w:r>
          </w:p>
        </w:tc>
        <w:tc>
          <w:tcPr>
            <w:tcW w:type="dxa" w:w="39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Use OpenRouter with free-tier model fallbacks. Implement response caching for common queries.</w:t>
            </w:r>
          </w:p>
        </w:tc>
      </w:tr>
    </w:tbl>
    <w:p>
      <w:pPr>
        <w:pStyle w:val="Heading1"/>
      </w:pPr>
      <w:r>
        <w:t xml:space="preserve">5. Summary (Heilmeier Questions)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What are we trying to do?</w:t>
            </w:r>
          </w:p>
        </w:tc>
        <w:tc>
          <w:tcPr>
            <w:tcW w:type="dxa" w:w="7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Build a clinical AI assistant that combines patient data, medical knowledge graphs, literature, and imaging to provide safe, explainable recommendations.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Current limitations?</w:t>
            </w:r>
          </w:p>
        </w:tc>
        <w:tc>
          <w:tcPr>
            <w:tcW w:type="dxa" w:w="7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Existing tools query single data sources and lack safety verification, leading to hallucinations and missed cross-domain insights.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What is new?</w:t>
            </w:r>
          </w:p>
        </w:tc>
        <w:tc>
          <w:tcPr>
            <w:tcW w:type="dxa" w:w="7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Neuro-symbolic hybrid retrieval with a self-reflective safety layer that catches contraindications before delivery.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Who cares?</w:t>
            </w:r>
          </w:p>
        </w:tc>
        <w:tc>
          <w:tcPr>
            <w:tcW w:type="dxa" w:w="7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Clinicians gain faster, safer decision support. Patients benefit from reduced diagnostic errors. Healthcare systems reduce documentation burden.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Risks?</w:t>
            </w:r>
          </w:p>
        </w:tc>
        <w:tc>
          <w:tcPr>
            <w:tcW w:type="dxa" w:w="7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LLM hallucination (mitigated by dual-LLM safety layer) and retrieval quality (mitigated by cross-encoder reranking).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Timeline?</w:t>
            </w:r>
          </w:p>
        </w:tc>
        <w:tc>
          <w:tcPr>
            <w:tcW w:type="dxa" w:w="7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Core system operational by February 2026. Full evaluation and documentation complete by April 20, 2026.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Success metrics?</w:t>
            </w:r>
          </w:p>
        </w:tc>
        <w:tc>
          <w:tcPr>
            <w:tcW w:type="dxa" w:w="7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Midterm: </w:t>
            </w:r>
            <w:r>
              <w:t xml:space="preserve">Precision@3 above 70%, safety layer catches over 95% of synthetic contraindications. </w:t>
            </w:r>
            <w:r>
              <w:rPr>
                <w:b/>
                <w:bCs/>
              </w:rPr>
              <w:t xml:space="preserve">Final: </w:t>
            </w:r>
            <w:r>
              <w:t xml:space="preserve">Positive clinician feedback on usability and trust.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FSE 570 Capstone Project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80"/>
      <w:jc w:val="center"/>
    </w:pPr>
    <w:rPr>
      <w:rFonts w:ascii="Calibri Light" w:cs="Calibri Light" w:eastAsia="Calibri Light" w:hAnsi="Calibri Light"/>
      <w:b/>
      <w:bCs/>
      <w:color w:val="1F4E79"/>
      <w:sz w:val="36"/>
      <w:szCs w:val="36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1"/>
      </w:pBdr>
      <w:spacing w:before="240" w:after="120"/>
      <w:outlineLvl w:val="0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2026-02-04T23:24:12.672Z</dcterms:created>
  <dcterms:modified xsi:type="dcterms:W3CDTF">2026-02-04T23:24:12.674Z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