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73B62" w14:textId="77777777" w:rsidR="00B9697D" w:rsidRPr="007F2DC8" w:rsidRDefault="00B9697D" w:rsidP="007F2DC8">
      <w:pPr>
        <w:spacing w:line="360" w:lineRule="auto"/>
        <w:jc w:val="center"/>
        <w:rPr>
          <w:b/>
          <w:sz w:val="28"/>
          <w:szCs w:val="24"/>
        </w:rPr>
      </w:pPr>
      <w:r w:rsidRPr="007F2DC8">
        <w:rPr>
          <w:b/>
          <w:sz w:val="28"/>
          <w:szCs w:val="24"/>
        </w:rPr>
        <w:t>Trade Desk – An Initiative by India ITME Society (IITME)</w:t>
      </w:r>
    </w:p>
    <w:p w14:paraId="134DF585" w14:textId="77777777" w:rsidR="00B9697D" w:rsidRPr="007F2DC8" w:rsidRDefault="00B9697D" w:rsidP="007F2DC8">
      <w:pPr>
        <w:spacing w:line="360" w:lineRule="auto"/>
        <w:jc w:val="center"/>
        <w:rPr>
          <w:i/>
          <w:sz w:val="28"/>
          <w:szCs w:val="24"/>
        </w:rPr>
      </w:pPr>
      <w:r w:rsidRPr="007F2DC8">
        <w:rPr>
          <w:i/>
          <w:sz w:val="28"/>
          <w:szCs w:val="24"/>
        </w:rPr>
        <w:t>Facilitator of the right business connections for the growth of trade &amp; economy</w:t>
      </w:r>
    </w:p>
    <w:p w14:paraId="30D0BDC5" w14:textId="77777777" w:rsidR="00B9697D" w:rsidRPr="007F2DC8" w:rsidRDefault="00B9697D" w:rsidP="007F2DC8">
      <w:pPr>
        <w:spacing w:line="360" w:lineRule="auto"/>
        <w:jc w:val="both"/>
        <w:rPr>
          <w:szCs w:val="24"/>
        </w:rPr>
      </w:pPr>
    </w:p>
    <w:p w14:paraId="530CE8DC" w14:textId="5A3E5ECB" w:rsidR="00B9697D" w:rsidRPr="007F2DC8" w:rsidRDefault="00B9697D" w:rsidP="007F2DC8">
      <w:pPr>
        <w:spacing w:line="360" w:lineRule="auto"/>
        <w:jc w:val="both"/>
        <w:rPr>
          <w:szCs w:val="24"/>
        </w:rPr>
      </w:pPr>
      <w:r w:rsidRPr="007F2DC8">
        <w:rPr>
          <w:szCs w:val="24"/>
        </w:rPr>
        <w:t xml:space="preserve">India ITME Society with its 40 plus years heritage has embarked on a journey to strengthen the domestic and international textile </w:t>
      </w:r>
      <w:r w:rsidR="00211ECD">
        <w:rPr>
          <w:szCs w:val="24"/>
        </w:rPr>
        <w:t xml:space="preserve">engineering </w:t>
      </w:r>
      <w:r w:rsidRPr="007F2DC8">
        <w:rPr>
          <w:szCs w:val="24"/>
        </w:rPr>
        <w:t xml:space="preserve">industry by facilitating multiple platforms for trade and business enhancement along with exchange of knowledge, technology transfer &amp; encouraging Foreign Direct Investments &amp; Joint Ventures in the textile industry, etc. </w:t>
      </w:r>
    </w:p>
    <w:p w14:paraId="314E25E7" w14:textId="77777777" w:rsidR="00B9697D" w:rsidRPr="007F2DC8" w:rsidRDefault="00B9697D" w:rsidP="007F2DC8">
      <w:pPr>
        <w:spacing w:line="360" w:lineRule="auto"/>
        <w:jc w:val="both"/>
        <w:rPr>
          <w:szCs w:val="24"/>
        </w:rPr>
      </w:pPr>
      <w:r w:rsidRPr="007F2DC8">
        <w:rPr>
          <w:szCs w:val="24"/>
        </w:rPr>
        <w:t>IITME, has always been an initiator in shaping India's textile engineering industry through its various events, it has always served as a gateway event for new entrants in Indian and Asian textile markets.  Having see</w:t>
      </w:r>
      <w:r w:rsidR="007F2DC8" w:rsidRPr="007F2DC8">
        <w:rPr>
          <w:szCs w:val="24"/>
        </w:rPr>
        <w:t>n the dynamics of exhibitions i</w:t>
      </w:r>
      <w:r w:rsidRPr="007F2DC8">
        <w:rPr>
          <w:szCs w:val="24"/>
        </w:rPr>
        <w:t xml:space="preserve">t has continuously built a legacy of successful mega events with seminars. IITME has now introduced an innovative platform of “Trade Desk”. </w:t>
      </w:r>
    </w:p>
    <w:p w14:paraId="1E10CA90" w14:textId="77777777" w:rsidR="00B9697D" w:rsidRPr="007F2DC8" w:rsidRDefault="00B9697D" w:rsidP="007F2DC8">
      <w:pPr>
        <w:spacing w:line="360" w:lineRule="auto"/>
        <w:jc w:val="both"/>
        <w:rPr>
          <w:szCs w:val="24"/>
        </w:rPr>
      </w:pPr>
      <w:r w:rsidRPr="007F2DC8">
        <w:rPr>
          <w:szCs w:val="24"/>
        </w:rPr>
        <w:t>This initiative of Trade Desk will help build the gap between trade inquiries and trade conversions that can act as a catalyst for the multifold growth of all stakeholders. Through this trade desk, IITME can help connect startups, and small-scale business houses with the appropriate technology suppliers, global markets and assist clients in projects from conceptualization, marketing, and techno-economic feasibility to project management to actual implementation. This platform will ensure that even the smallest of the enquiries both national as well as international are reaching the appropriate producers in India leading to the growth of trade and economy and right solutions are given to the clients through expert advisors.</w:t>
      </w:r>
    </w:p>
    <w:p w14:paraId="0537C045" w14:textId="77777777" w:rsidR="00B9697D" w:rsidRDefault="00B9697D" w:rsidP="007F2DC8">
      <w:pPr>
        <w:spacing w:line="360" w:lineRule="auto"/>
        <w:jc w:val="both"/>
        <w:rPr>
          <w:szCs w:val="24"/>
        </w:rPr>
      </w:pPr>
      <w:r w:rsidRPr="007F2DC8">
        <w:rPr>
          <w:szCs w:val="24"/>
        </w:rPr>
        <w:t xml:space="preserve">IITME is always on the verge of bringing more and more for the betterment of the textile ecosystem and overall growth of the textile industry. With this initiative, IITME will ensure fair trade practices for all the stakeholders holders such as </w:t>
      </w:r>
    </w:p>
    <w:p w14:paraId="403EDFA7" w14:textId="77777777" w:rsidR="000F6B6F" w:rsidRPr="007F2DC8" w:rsidRDefault="000F6B6F" w:rsidP="007F2DC8">
      <w:pPr>
        <w:spacing w:line="360" w:lineRule="auto"/>
        <w:jc w:val="both"/>
        <w:rPr>
          <w:szCs w:val="24"/>
        </w:rPr>
      </w:pPr>
    </w:p>
    <w:p w14:paraId="46D7D542" w14:textId="2FAE34BA" w:rsidR="00B9697D" w:rsidRPr="007F2DC8" w:rsidRDefault="00545D08" w:rsidP="007F2DC8">
      <w:pPr>
        <w:pStyle w:val="ListParagraph"/>
        <w:numPr>
          <w:ilvl w:val="0"/>
          <w:numId w:val="3"/>
        </w:numPr>
        <w:spacing w:line="360" w:lineRule="auto"/>
        <w:rPr>
          <w:rFonts w:ascii="Book Antiqua" w:hAnsi="Book Antiqua"/>
          <w:sz w:val="24"/>
          <w:szCs w:val="24"/>
        </w:rPr>
      </w:pPr>
      <w:r>
        <w:rPr>
          <w:rFonts w:ascii="Book Antiqua" w:hAnsi="Book Antiqua"/>
          <w:sz w:val="24"/>
          <w:szCs w:val="24"/>
        </w:rPr>
        <w:lastRenderedPageBreak/>
        <w:t>Machinery</w:t>
      </w:r>
      <w:r w:rsidR="00B9697D" w:rsidRPr="007F2DC8">
        <w:rPr>
          <w:rFonts w:ascii="Book Antiqua" w:hAnsi="Book Antiqua"/>
          <w:sz w:val="24"/>
          <w:szCs w:val="24"/>
        </w:rPr>
        <w:t xml:space="preserve"> manufacturers </w:t>
      </w:r>
    </w:p>
    <w:p w14:paraId="611D15AC"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Machinery &amp; Accessory Suppliers</w:t>
      </w:r>
    </w:p>
    <w:p w14:paraId="33D55960" w14:textId="6871FA71"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 xml:space="preserve"> Traders</w:t>
      </w:r>
      <w:r w:rsidR="00545D08">
        <w:rPr>
          <w:rFonts w:ascii="Book Antiqua" w:hAnsi="Book Antiqua"/>
          <w:sz w:val="24"/>
          <w:szCs w:val="24"/>
        </w:rPr>
        <w:t>/Agents/ Distributors</w:t>
      </w:r>
    </w:p>
    <w:p w14:paraId="1AD29550"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 xml:space="preserve">Marketing agencies, etc. </w:t>
      </w:r>
    </w:p>
    <w:p w14:paraId="1BB6E4F2" w14:textId="77777777" w:rsidR="00B9697D" w:rsidRPr="007F2DC8" w:rsidRDefault="00B9697D" w:rsidP="007F2DC8">
      <w:pPr>
        <w:spacing w:line="360" w:lineRule="auto"/>
        <w:jc w:val="both"/>
        <w:rPr>
          <w:szCs w:val="24"/>
        </w:rPr>
      </w:pPr>
    </w:p>
    <w:p w14:paraId="5279EB4F" w14:textId="77777777" w:rsidR="00B9697D" w:rsidRPr="007F2DC8" w:rsidRDefault="00B9697D" w:rsidP="007F2DC8">
      <w:pPr>
        <w:spacing w:line="360" w:lineRule="auto"/>
        <w:jc w:val="both"/>
        <w:rPr>
          <w:szCs w:val="24"/>
        </w:rPr>
      </w:pPr>
      <w:r w:rsidRPr="007F2DC8">
        <w:rPr>
          <w:szCs w:val="24"/>
        </w:rPr>
        <w:t xml:space="preserve">The major services envisaged under the banner of the trade desk are as follows: </w:t>
      </w:r>
    </w:p>
    <w:p w14:paraId="2A4515E9" w14:textId="39DB10F6"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Book Antiqua" w:hAnsi="Book Antiqua"/>
          <w:sz w:val="24"/>
          <w:szCs w:val="24"/>
        </w:rPr>
        <w:t xml:space="preserve">Trade </w:t>
      </w:r>
      <w:r w:rsidR="00545D08">
        <w:rPr>
          <w:rFonts w:ascii="Book Antiqua" w:hAnsi="Book Antiqua"/>
          <w:sz w:val="24"/>
          <w:szCs w:val="24"/>
        </w:rPr>
        <w:t>Missions</w:t>
      </w:r>
    </w:p>
    <w:p w14:paraId="376647D0"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Book Antiqua" w:hAnsi="Book Antiqua"/>
          <w:sz w:val="24"/>
          <w:szCs w:val="24"/>
        </w:rPr>
        <w:t>Mapping trade requests</w:t>
      </w:r>
    </w:p>
    <w:p w14:paraId="69DDCAEE" w14:textId="6C5793BE"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00545D08">
        <w:rPr>
          <w:rFonts w:ascii="Book Antiqua" w:hAnsi="Book Antiqua"/>
          <w:sz w:val="24"/>
          <w:szCs w:val="24"/>
        </w:rPr>
        <w:t>Sourcing</w:t>
      </w:r>
      <w:r w:rsidRPr="007F2DC8">
        <w:rPr>
          <w:rFonts w:ascii="Book Antiqua" w:hAnsi="Book Antiqua"/>
          <w:sz w:val="24"/>
          <w:szCs w:val="24"/>
        </w:rPr>
        <w:t xml:space="preserve"> queries</w:t>
      </w:r>
    </w:p>
    <w:p w14:paraId="7CBEFA87"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Providing pre-requisite information</w:t>
      </w:r>
    </w:p>
    <w:p w14:paraId="459E06BA"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Handling project enquiries</w:t>
      </w:r>
    </w:p>
    <w:p w14:paraId="5A74E6CF"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 xml:space="preserve">Proposal preparation </w:t>
      </w:r>
    </w:p>
    <w:p w14:paraId="51C779DA"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 xml:space="preserve">Proposal Follow up </w:t>
      </w:r>
    </w:p>
    <w:p w14:paraId="6C9A7430" w14:textId="77777777" w:rsidR="00B9697D"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Project Co-ordination</w:t>
      </w:r>
    </w:p>
    <w:p w14:paraId="7C684707" w14:textId="77777777" w:rsidR="006837C9" w:rsidRPr="007F2DC8" w:rsidRDefault="00B9697D" w:rsidP="007F2DC8">
      <w:pPr>
        <w:pStyle w:val="ListParagraph"/>
        <w:numPr>
          <w:ilvl w:val="0"/>
          <w:numId w:val="3"/>
        </w:numPr>
        <w:spacing w:line="360" w:lineRule="auto"/>
        <w:rPr>
          <w:rFonts w:ascii="Book Antiqua" w:hAnsi="Book Antiqua"/>
          <w:sz w:val="24"/>
          <w:szCs w:val="24"/>
        </w:rPr>
      </w:pPr>
      <w:r w:rsidRPr="007F2DC8">
        <w:rPr>
          <w:rFonts w:ascii="Times New Roman" w:hAnsi="Times New Roman"/>
          <w:sz w:val="24"/>
          <w:szCs w:val="24"/>
        </w:rPr>
        <w:t>⁠</w:t>
      </w:r>
      <w:r w:rsidRPr="007F2DC8">
        <w:rPr>
          <w:rFonts w:ascii="Book Antiqua" w:hAnsi="Book Antiqua"/>
          <w:sz w:val="24"/>
          <w:szCs w:val="24"/>
        </w:rPr>
        <w:t>Project Handholding</w:t>
      </w:r>
    </w:p>
    <w:sectPr w:rsidR="006837C9" w:rsidRPr="007F2DC8" w:rsidSect="007F2D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riple" w:sz="4" w:space="24" w:color="7030A0"/>
        <w:left w:val="triple" w:sz="4" w:space="24" w:color="7030A0"/>
        <w:bottom w:val="triple" w:sz="4" w:space="24" w:color="7030A0"/>
        <w:right w:val="triple" w:sz="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C3EE9" w14:textId="77777777" w:rsidR="003D1BDD" w:rsidRDefault="003D1BDD" w:rsidP="007F2DC8">
      <w:pPr>
        <w:spacing w:after="0" w:line="240" w:lineRule="auto"/>
      </w:pPr>
      <w:r>
        <w:separator/>
      </w:r>
    </w:p>
  </w:endnote>
  <w:endnote w:type="continuationSeparator" w:id="0">
    <w:p w14:paraId="273349D0" w14:textId="77777777" w:rsidR="003D1BDD" w:rsidRDefault="003D1BDD" w:rsidP="007F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C01ED" w14:textId="77777777" w:rsidR="007F2DC8" w:rsidRDefault="007F2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13A9F" w14:textId="77777777" w:rsidR="007F2DC8" w:rsidRDefault="007F2D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8BC86" w14:textId="77777777" w:rsidR="007F2DC8" w:rsidRDefault="007F2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D213A" w14:textId="77777777" w:rsidR="003D1BDD" w:rsidRDefault="003D1BDD" w:rsidP="007F2DC8">
      <w:pPr>
        <w:spacing w:after="0" w:line="240" w:lineRule="auto"/>
      </w:pPr>
      <w:r>
        <w:separator/>
      </w:r>
    </w:p>
  </w:footnote>
  <w:footnote w:type="continuationSeparator" w:id="0">
    <w:p w14:paraId="6DFB394A" w14:textId="77777777" w:rsidR="003D1BDD" w:rsidRDefault="003D1BDD" w:rsidP="007F2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C1093" w14:textId="77777777" w:rsidR="007F2DC8" w:rsidRDefault="00000000">
    <w:pPr>
      <w:pStyle w:val="Header"/>
    </w:pPr>
    <w:r>
      <w:rPr>
        <w:noProof/>
      </w:rPr>
      <w:pict w14:anchorId="39CB0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7924797" o:spid="_x0000_s1029" type="#_x0000_t75" style="position:absolute;margin-left:0;margin-top:0;width:238.5pt;height:300.3pt;z-index:-251657216;mso-position-horizontal:center;mso-position-horizontal-relative:margin;mso-position-vertical:center;mso-position-vertical-relative:margin" o:allowincell="f">
          <v:imagedata r:id="rId1" o:title="Suvin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FFD60" w14:textId="77777777" w:rsidR="007F2DC8" w:rsidRDefault="00000000">
    <w:pPr>
      <w:pStyle w:val="Header"/>
    </w:pPr>
    <w:r>
      <w:rPr>
        <w:noProof/>
      </w:rPr>
      <w:pict w14:anchorId="3D790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7924798" o:spid="_x0000_s1030" type="#_x0000_t75" style="position:absolute;margin-left:0;margin-top:0;width:238.5pt;height:300.3pt;z-index:-251656192;mso-position-horizontal:center;mso-position-horizontal-relative:margin;mso-position-vertical:center;mso-position-vertical-relative:margin" o:allowincell="f">
          <v:imagedata r:id="rId1" o:title="Suvin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2CE32" w14:textId="77777777" w:rsidR="007F2DC8" w:rsidRDefault="00000000">
    <w:pPr>
      <w:pStyle w:val="Header"/>
    </w:pPr>
    <w:r>
      <w:rPr>
        <w:noProof/>
      </w:rPr>
      <w:pict w14:anchorId="665E45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7924796" o:spid="_x0000_s1028" type="#_x0000_t75" style="position:absolute;margin-left:0;margin-top:0;width:238.5pt;height:300.3pt;z-index:-251658240;mso-position-horizontal:center;mso-position-horizontal-relative:margin;mso-position-vertical:center;mso-position-vertical-relative:margin" o:allowincell="f">
          <v:imagedata r:id="rId1" o:title="Suvin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DC7E"/>
      </v:shape>
    </w:pict>
  </w:numPicBullet>
  <w:abstractNum w:abstractNumId="0" w15:restartNumberingAfterBreak="0">
    <w:nsid w:val="0FF027ED"/>
    <w:multiLevelType w:val="hybridMultilevel"/>
    <w:tmpl w:val="CD582184"/>
    <w:lvl w:ilvl="0" w:tplc="1B90E05E">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C0521"/>
    <w:multiLevelType w:val="hybridMultilevel"/>
    <w:tmpl w:val="048A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47DF1"/>
    <w:multiLevelType w:val="hybridMultilevel"/>
    <w:tmpl w:val="0D5CC702"/>
    <w:lvl w:ilvl="0" w:tplc="1B90E05E">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B592E"/>
    <w:multiLevelType w:val="multilevel"/>
    <w:tmpl w:val="EEE2FEA0"/>
    <w:lvl w:ilvl="0">
      <w:start w:val="1"/>
      <w:numFmt w:val="bullet"/>
      <w:lvlText w:val=""/>
      <w:lvlPicBulletId w:val="0"/>
      <w:lvlJc w:val="left"/>
      <w:pPr>
        <w:ind w:left="576" w:hanging="576"/>
      </w:pPr>
      <w:rPr>
        <w:rFonts w:ascii="Symbol" w:hAnsi="Symbol" w:hint="default"/>
        <w:color w:val="auto"/>
        <w:sz w:val="28"/>
        <w:szCs w:val="24"/>
      </w:rPr>
    </w:lvl>
    <w:lvl w:ilvl="1">
      <w:start w:val="1"/>
      <w:numFmt w:val="bullet"/>
      <w:lvlText w:val=""/>
      <w:lvlJc w:val="left"/>
      <w:pPr>
        <w:ind w:left="648" w:hanging="360"/>
      </w:pPr>
      <w:rPr>
        <w:rFonts w:ascii="Wingdings" w:hAnsi="Wingdings" w:cs="Times New Roman" w:hint="default"/>
        <w:color w:val="auto"/>
        <w:sz w:val="24"/>
        <w:szCs w:val="24"/>
      </w:rPr>
    </w:lvl>
    <w:lvl w:ilvl="2">
      <w:start w:val="1"/>
      <w:numFmt w:val="bullet"/>
      <w:lvlText w:val=""/>
      <w:lvlJc w:val="left"/>
      <w:pPr>
        <w:ind w:left="864" w:hanging="360"/>
      </w:pPr>
      <w:rPr>
        <w:rFonts w:ascii="Wingdings" w:hAnsi="Wingdings" w:hint="default"/>
        <w:b w:val="0"/>
        <w:i w:val="0"/>
        <w:sz w:val="24"/>
      </w:rPr>
    </w:lvl>
    <w:lvl w:ilvl="3">
      <w:start w:val="1"/>
      <w:numFmt w:val="bullet"/>
      <w:lvlRestart w:val="1"/>
      <w:lvlText w:val=""/>
      <w:lvlJc w:val="left"/>
      <w:pPr>
        <w:ind w:left="1152" w:hanging="360"/>
      </w:pPr>
      <w:rPr>
        <w:rFonts w:ascii="Symbol" w:hAnsi="Symbol" w:hint="default"/>
        <w:b w:val="0"/>
        <w:i w:val="0"/>
        <w:color w:val="auto"/>
        <w:sz w:val="20"/>
      </w:rPr>
    </w:lvl>
    <w:lvl w:ilvl="4">
      <w:start w:val="1"/>
      <w:numFmt w:val="bullet"/>
      <w:lvlRestart w:val="1"/>
      <w:lvlText w:val="-"/>
      <w:lvlJc w:val="left"/>
      <w:pPr>
        <w:tabs>
          <w:tab w:val="num" w:pos="1008"/>
        </w:tabs>
        <w:ind w:left="1296" w:hanging="288"/>
      </w:pPr>
      <w:rPr>
        <w:rFonts w:ascii="Verdana" w:hAnsi="Verdana" w:hint="default"/>
        <w:b w:val="0"/>
        <w:i w:val="0"/>
        <w:color w:val="auto"/>
        <w:sz w:val="24"/>
        <w:u w:val="none"/>
      </w:rPr>
    </w:lvl>
    <w:lvl w:ilvl="5">
      <w:start w:val="1"/>
      <w:numFmt w:val="bullet"/>
      <w:lvlRestart w:val="0"/>
      <w:lvlText w:val=""/>
      <w:lvlJc w:val="left"/>
      <w:pPr>
        <w:tabs>
          <w:tab w:val="num" w:pos="1224"/>
        </w:tabs>
        <w:ind w:left="1512" w:hanging="288"/>
      </w:pPr>
      <w:rPr>
        <w:rFonts w:ascii="Symbol" w:hAnsi="Symbol" w:hint="default"/>
        <w:b w:val="0"/>
        <w:i w:val="0"/>
        <w:color w:val="auto"/>
        <w:sz w:val="16"/>
      </w:rPr>
    </w:lvl>
    <w:lvl w:ilvl="6">
      <w:start w:val="1"/>
      <w:numFmt w:val="bullet"/>
      <w:lvlRestart w:val="0"/>
      <w:lvlText w:val=""/>
      <w:lvlJc w:val="left"/>
      <w:pPr>
        <w:tabs>
          <w:tab w:val="num" w:pos="1512"/>
        </w:tabs>
        <w:ind w:left="1944" w:hanging="432"/>
      </w:pPr>
      <w:rPr>
        <w:rFonts w:ascii="Symbol" w:hAnsi="Symbol" w:hint="default"/>
        <w:b w:val="0"/>
        <w:i w:val="0"/>
        <w:color w:val="auto"/>
        <w:sz w:val="24"/>
        <w:u w:val="none"/>
      </w:rPr>
    </w:lvl>
    <w:lvl w:ilvl="7">
      <w:start w:val="1"/>
      <w:numFmt w:val="bullet"/>
      <w:lvlRestart w:val="0"/>
      <w:lvlText w:val=""/>
      <w:lvlJc w:val="left"/>
      <w:pPr>
        <w:tabs>
          <w:tab w:val="num" w:pos="1944"/>
        </w:tabs>
        <w:ind w:left="2304" w:hanging="360"/>
      </w:pPr>
      <w:rPr>
        <w:rFonts w:ascii="Symbol" w:hAnsi="Symbol" w:hint="default"/>
        <w:color w:val="auto"/>
        <w:sz w:val="24"/>
      </w:rPr>
    </w:lvl>
    <w:lvl w:ilvl="8">
      <w:start w:val="1"/>
      <w:numFmt w:val="bullet"/>
      <w:lvlRestart w:val="0"/>
      <w:lvlText w:val=""/>
      <w:lvlJc w:val="left"/>
      <w:pPr>
        <w:ind w:left="2592" w:hanging="288"/>
      </w:pPr>
      <w:rPr>
        <w:rFonts w:ascii="Symbol" w:hAnsi="Symbol" w:hint="default"/>
        <w:color w:val="auto"/>
      </w:rPr>
    </w:lvl>
  </w:abstractNum>
  <w:num w:numId="1" w16cid:durableId="1197427755">
    <w:abstractNumId w:val="3"/>
  </w:num>
  <w:num w:numId="2" w16cid:durableId="1346057207">
    <w:abstractNumId w:val="1"/>
  </w:num>
  <w:num w:numId="3" w16cid:durableId="929041107">
    <w:abstractNumId w:val="2"/>
  </w:num>
  <w:num w:numId="4" w16cid:durableId="167105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F6"/>
    <w:rsid w:val="000A0BD6"/>
    <w:rsid w:val="000C6CE9"/>
    <w:rsid w:val="000F6B6F"/>
    <w:rsid w:val="00211ECD"/>
    <w:rsid w:val="003D1BDD"/>
    <w:rsid w:val="00545D08"/>
    <w:rsid w:val="00575A35"/>
    <w:rsid w:val="005D77B5"/>
    <w:rsid w:val="006837C9"/>
    <w:rsid w:val="00702622"/>
    <w:rsid w:val="007639F1"/>
    <w:rsid w:val="007F2DC8"/>
    <w:rsid w:val="009D6B67"/>
    <w:rsid w:val="00B9697D"/>
    <w:rsid w:val="00DB3F52"/>
    <w:rsid w:val="00F272F6"/>
    <w:rsid w:val="00FC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A01B3"/>
  <w15:chartTrackingRefBased/>
  <w15:docId w15:val="{B8014570-0BA5-41AA-A2A5-64FDE5B5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 Antiqua" w:eastAsiaTheme="minorHAnsi" w:hAnsi="Book Antiqu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semiHidden/>
    <w:unhideWhenUsed/>
    <w:qFormat/>
    <w:rsid w:val="00FC08A8"/>
    <w:pPr>
      <w:spacing w:after="100" w:line="240" w:lineRule="auto"/>
      <w:ind w:left="220"/>
      <w:jc w:val="both"/>
    </w:pPr>
    <w:rPr>
      <w:rFonts w:eastAsia="Calibri" w:cs="Times New Roman"/>
      <w:lang w:val="en-IN"/>
    </w:rPr>
  </w:style>
  <w:style w:type="paragraph" w:styleId="TOC3">
    <w:name w:val="toc 3"/>
    <w:basedOn w:val="Normal"/>
    <w:next w:val="Normal"/>
    <w:autoRedefine/>
    <w:uiPriority w:val="39"/>
    <w:semiHidden/>
    <w:unhideWhenUsed/>
    <w:qFormat/>
    <w:rsid w:val="00FC08A8"/>
    <w:pPr>
      <w:spacing w:after="100" w:line="240" w:lineRule="auto"/>
      <w:ind w:left="440"/>
      <w:jc w:val="both"/>
    </w:pPr>
    <w:rPr>
      <w:rFonts w:eastAsia="Calibri" w:cs="Times New Roman"/>
      <w:lang w:val="en-IN"/>
    </w:rPr>
  </w:style>
  <w:style w:type="paragraph" w:styleId="TOC1">
    <w:name w:val="toc 1"/>
    <w:basedOn w:val="Normal"/>
    <w:next w:val="Normal"/>
    <w:autoRedefine/>
    <w:uiPriority w:val="39"/>
    <w:semiHidden/>
    <w:unhideWhenUsed/>
    <w:qFormat/>
    <w:rsid w:val="00FC08A8"/>
    <w:pPr>
      <w:spacing w:after="100" w:line="240" w:lineRule="auto"/>
      <w:jc w:val="both"/>
    </w:pPr>
    <w:rPr>
      <w:rFonts w:eastAsia="Calibri" w:cs="Times New Roman"/>
      <w:lang w:val="en-IN"/>
    </w:rPr>
  </w:style>
  <w:style w:type="paragraph" w:styleId="ListParagraph">
    <w:name w:val="List Paragraph"/>
    <w:basedOn w:val="Normal"/>
    <w:uiPriority w:val="34"/>
    <w:qFormat/>
    <w:rsid w:val="006837C9"/>
    <w:pPr>
      <w:spacing w:after="0" w:line="240" w:lineRule="auto"/>
      <w:ind w:left="720"/>
      <w:contextualSpacing/>
      <w:jc w:val="both"/>
    </w:pPr>
    <w:rPr>
      <w:rFonts w:ascii="Calibri" w:eastAsia="Calibri" w:hAnsi="Calibri" w:cs="Times New Roman"/>
      <w:sz w:val="22"/>
      <w:lang w:val="en-IN"/>
    </w:rPr>
  </w:style>
  <w:style w:type="paragraph" w:styleId="Header">
    <w:name w:val="header"/>
    <w:basedOn w:val="Normal"/>
    <w:link w:val="HeaderChar"/>
    <w:uiPriority w:val="99"/>
    <w:unhideWhenUsed/>
    <w:rsid w:val="007F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C8"/>
  </w:style>
  <w:style w:type="paragraph" w:styleId="Footer">
    <w:name w:val="footer"/>
    <w:basedOn w:val="Normal"/>
    <w:link w:val="FooterChar"/>
    <w:uiPriority w:val="99"/>
    <w:unhideWhenUsed/>
    <w:rsid w:val="007F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 - INDIA ITME SOCIETY</cp:lastModifiedBy>
  <cp:revision>5</cp:revision>
  <cp:lastPrinted>2024-12-04T09:05:00Z</cp:lastPrinted>
  <dcterms:created xsi:type="dcterms:W3CDTF">2024-12-04T07:54:00Z</dcterms:created>
  <dcterms:modified xsi:type="dcterms:W3CDTF">2024-12-06T07:53:00Z</dcterms:modified>
</cp:coreProperties>
</file>