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7" w:name="content"/>
    <w:bookmarkStart w:id="86" w:name="X5a32c1ad67cd5b5229ba3d4db1459ae04b41b0a"/>
    <w:p>
      <w:pPr>
        <w:pStyle w:val="Heading1"/>
      </w:pPr>
      <w:r>
        <w:t xml:space="preserve">Federated Learning Thesis Blueprint for Reliable Diabetes Prediction With Calibration, Explainability, and an Advanced Public-Data Dashboard</w:t>
      </w:r>
    </w:p>
    <w:bookmarkStart w:id="25" w:name="proposal-and-review-synthesis"/>
    <w:p>
      <w:pPr>
        <w:pStyle w:val="Heading2"/>
      </w:pPr>
      <w:r>
        <w:t xml:space="preserve">Proposal and review synthesis</w:t>
      </w:r>
    </w:p>
    <w:p>
      <w:pPr>
        <w:pStyle w:val="FirstParagraph"/>
      </w:pPr>
      <w:r>
        <w:t xml:space="preserve">Your proposal already sets a strong direction: privacy-preserving diabetes prediction via federated learning (FL), with a comparative study of classical ML and a shallow deep model, plus calibrated risk probabilities and SHAP-based explainability. fileciteturn0file0 The “good” reviewer feedback highlights that this combined framing (privacy + reliability + explainability) is clinically meaningful and that emphasizing calibrated probabilities (not just accuracy) strengthens practical relevance. fileciteturn0file0</w:t>
      </w:r>
    </w:p>
    <w:p>
      <w:pPr>
        <w:pStyle w:val="BodyText"/>
      </w:pPr>
      <w:r>
        <w:t xml:space="preserve">The more critical review comments are essentially asking you to “make the work defensible and measurable” in four areas: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base</w:t>
      </w:r>
      <w:r>
        <w:t xml:space="preserve">: expand from “basic concepts” to a systematic, recent literature review (suggested window: 2020–2025) across FL in healthcare, calibration, and explainable FL. A recent healthcare-focused privacy review emphasizes that FL addresses data-sharing barriers but introduces new risks and design considerations (including information leakage from updates).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Measurable definitions</w:t>
      </w:r>
      <w:r>
        <w:t xml:space="preserve">: rewrite research questions so terms like “sustaining predictive performance” and “trustworthiness” become measurable (performance deltas, calibration metrics, communication cost, fairness, and explainability stability). Communication cost is widely recognized as a primary constraint in FL, and should be explicitly measured rather than assumed away.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specificity</w:t>
      </w:r>
      <w:r>
        <w:t xml:space="preserve">: add an “Implementation Specifications” subsection with (a) aggregation equations/pseudocode, (b) non-IID generation mathematically defined, and (c) model architectures and calibration steps spelled out. Standard FL simulation frameworks (e.g., Flower, TensorFlow Federated) provide reference patterns for implementing FedAvg-style training loops and research-grade simulations.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 breadth</w:t>
      </w:r>
      <w:r>
        <w:t xml:space="preserve">: extend evaluation beyond accuracy/AUC into (a) calibration (Brier/ECE/log loss + reliability diagrams), (b) fairness across subgroups, (c) communication cost (bytes/rounds), and (d) interpretability quality/stability. ECE and reliability diagrams are widely used for calibration assessment, and the calibration literature strongly recommends pairing visual and scalar metrics.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t xml:space="preserve">This blueprint below addresses each of these points and turns the thesis into a complete end-to-end plan (problem → methods → implementation → experiments → dashboard → thesis writing), strictly using</w:t>
      </w:r>
      <w:r>
        <w:t xml:space="preserve"> </w:t>
      </w:r>
      <w:r>
        <w:rPr>
          <w:b/>
          <w:bCs/>
        </w:rPr>
        <w:t xml:space="preserve">publicly available datasets</w:t>
      </w:r>
      <w:r>
        <w:t xml:space="preserve">.</w:t>
      </w:r>
    </w:p>
    <w:bookmarkEnd w:id="25"/>
    <w:bookmarkStart w:id="30" w:name="novel-contribution-target"/>
    <w:p>
      <w:pPr>
        <w:pStyle w:val="Heading2"/>
      </w:pPr>
      <w:r>
        <w:t xml:space="preserve">Novel contribution target</w:t>
      </w:r>
    </w:p>
    <w:p>
      <w:pPr>
        <w:pStyle w:val="FirstParagraph"/>
      </w:pPr>
      <w:r>
        <w:t xml:space="preserve">To satisfy “something not done yet” or “improving prior work,” your safest (and strongest) thesis positioning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Improve existing federated diabetes prediction work</w:t>
      </w:r>
      <w:r>
        <w:t xml:space="preserve"> </w:t>
      </w:r>
      <w:r>
        <w:t xml:space="preserve">(which often focuses on accuracy/privacy) by making it</w:t>
      </w:r>
      <w:r>
        <w:t xml:space="preserve"> </w:t>
      </w:r>
      <w:r>
        <w:rPr>
          <w:b/>
          <w:bCs/>
        </w:rPr>
        <w:t xml:space="preserve">reliability-first</w:t>
      </w:r>
      <w:r>
        <w:t xml:space="preserve"> </w:t>
      </w:r>
      <w:r>
        <w:t xml:space="preserve">(calibration),</w:t>
      </w:r>
      <w:r>
        <w:t xml:space="preserve"> </w:t>
      </w:r>
      <w:r>
        <w:rPr>
          <w:b/>
          <w:bCs/>
        </w:rPr>
        <w:t xml:space="preserve">decision-support ready</w:t>
      </w:r>
      <w:r>
        <w:t xml:space="preserve"> </w:t>
      </w:r>
      <w:r>
        <w:t xml:space="preserve">(explainability), and</w:t>
      </w:r>
      <w:r>
        <w:t xml:space="preserve"> </w:t>
      </w:r>
      <w:r>
        <w:rPr>
          <w:b/>
          <w:bCs/>
        </w:rPr>
        <w:t xml:space="preserve">verifiably measurable</w:t>
      </w:r>
      <w:r>
        <w:t xml:space="preserve"> </w:t>
      </w:r>
      <w:r>
        <w:t xml:space="preserve">(communication + fairness + explanation stability). Many FL-in-healthcare works emphasize performance and privacy while leaving “trustworthiness” underspecified; reviews of explainable FL highlight fragmentation and a lack of quantitative, standardized evaluation of the FL–explanation interplay.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2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calibration-aware federated component</w:t>
      </w:r>
      <w:r>
        <w:t xml:space="preserve"> </w:t>
      </w:r>
      <w:r>
        <w:t xml:space="preserve">rather than only local post-hoc calibration:</w:t>
      </w:r>
    </w:p>
    <w:p>
      <w:pPr>
        <w:pStyle w:val="Compact"/>
        <w:numPr>
          <w:ilvl w:val="0"/>
          <w:numId w:val="1002"/>
        </w:numPr>
      </w:pPr>
      <w:r>
        <w:t xml:space="preserve">Post-hoc calibration is standard (isotonic/sigmoid/temperature scaling), but doing it in FL is non-trivial because global validation data is typically unavailable.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2"/>
        </w:numPr>
      </w:pPr>
      <w:r>
        <w:t xml:space="preserve">Recent FL literature proposes explicitly federated calibration procedures (e.g., FedCal) to achieve local + global calibration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relying on a centralized validation set.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2"/>
        </w:numPr>
      </w:pPr>
      <w:r>
        <w:t xml:space="preserve">There is also emerging work on aggregation updates weighted by calibration error. That means your “calibration-aware aggregation” is not speculative—but applying it to</w:t>
      </w:r>
      <w:r>
        <w:t xml:space="preserve"> </w:t>
      </w:r>
      <w:r>
        <w:rPr>
          <w:b/>
          <w:bCs/>
        </w:rPr>
        <w:t xml:space="preserve">diabetes risk prediction</w:t>
      </w:r>
      <w:r>
        <w:t xml:space="preserve"> </w:t>
      </w:r>
      <w:r>
        <w:t xml:space="preserve">with an integrated explainability + fairness + communication evaluation creates a meaningful, thesis-sized novelty.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2"/>
        </w:numPr>
      </w:pPr>
      <w:r>
        <w:t xml:space="preserve">Deliver an</w:t>
      </w:r>
      <w:r>
        <w:t xml:space="preserve"> </w:t>
      </w:r>
      <w:r>
        <w:rPr>
          <w:b/>
          <w:bCs/>
        </w:rPr>
        <w:t xml:space="preserve">advanced, interactive “Federated Trustworthiness Dashboard”</w:t>
      </w:r>
      <w:r>
        <w:t xml:space="preserve"> </w:t>
      </w:r>
      <w:r>
        <w:t xml:space="preserve">that visualizes calibration, fairness, SHAP explanations, and FL training dynamics per-client and globally. Scoping reviews explicitly note that structured practices and consistent reporting are still a minority in explainable FL—an interactive monitoring artifact can be a concrete contribution (and highly demo-able).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FirstParagraph"/>
      </w:pPr>
      <w:r>
        <w:rPr>
          <w:b/>
          <w:bCs/>
        </w:rPr>
        <w:t xml:space="preserve">Your thesis contribution can be stated as:</w:t>
      </w:r>
    </w:p>
    <w:p>
      <w:pPr>
        <w:pStyle w:val="BodyText"/>
      </w:pPr>
      <w:r>
        <w:t xml:space="preserve">A reproducible, privacy-preserving diabetes prediction framework that (1) compares ML vs shallow DL under IID and controlled non-IID, (2) evaluates and improves probability calibration locally and globally in FL (including a federated calibration method), (3) quantifies “trustworthiness” through calibration + fairness + explanation stability + user trust measures, and (4) provides an interactive public-data dashboard for audit and decision-support visualization.</w:t>
      </w:r>
    </w:p>
    <w:bookmarkEnd w:id="30"/>
    <w:bookmarkStart w:id="38" w:name="public-data-and-external-resources"/>
    <w:p>
      <w:pPr>
        <w:pStyle w:val="Heading2"/>
      </w:pPr>
      <w:r>
        <w:t xml:space="preserve">Public data and external resources</w:t>
      </w:r>
    </w:p>
    <w:bookmarkStart w:id="34" w:name="core-datasets-that-are-clearly-public"/>
    <w:p>
      <w:pPr>
        <w:pStyle w:val="Heading3"/>
      </w:pPr>
      <w:r>
        <w:t xml:space="preserve">Core datasets that are clearly public</w:t>
      </w:r>
    </w:p>
    <w:p>
      <w:pPr>
        <w:pStyle w:val="FirstParagraph"/>
      </w:pPr>
      <w:r>
        <w:t xml:space="preserve">Use at least</w:t>
      </w:r>
      <w:r>
        <w:t xml:space="preserve"> </w:t>
      </w:r>
      <w:r>
        <w:rPr>
          <w:b/>
          <w:bCs/>
        </w:rPr>
        <w:t xml:space="preserve">two datasets</w:t>
      </w:r>
      <w:r>
        <w:t xml:space="preserve"> </w:t>
      </w:r>
      <w:r>
        <w:t xml:space="preserve">to reduce the “single dataset generalizability” criticism, while keeping scope manageable: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Pima Indians Diabetes dataset</w:t>
      </w:r>
      <w:r>
        <w:t xml:space="preserve"> </w:t>
      </w:r>
      <w:r>
        <w:t xml:space="preserve">(baseline, numeric clinical features; traditional benchmark): 768 instances, 8 attributes + label; historically constrained to women of Pima Indian heritage (important limitation to acknowledge).</w:t>
      </w:r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CDC Diabetes Health Indicators (BRFSS 2015)</w:t>
      </w:r>
      <w:r>
        <w:t xml:space="preserve"> </w:t>
      </w:r>
      <w:r>
        <w:t xml:space="preserve">(large-scale, lifestyle/survey indicators; good for robustness and subgroup fairness): published at UCI and also distributed in cleaned form via Kaggle; official BRFSS documentation is available from the CDC.</w:t>
      </w:r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3"/>
        </w:numPr>
      </w:pPr>
      <w:r>
        <w:t xml:space="preserve">Optional extension (only if you truly need a third dataset):</w:t>
      </w:r>
      <w:r>
        <w:t xml:space="preserve"> </w:t>
      </w:r>
      <w:r>
        <w:rPr>
          <w:b/>
          <w:bCs/>
        </w:rPr>
        <w:t xml:space="preserve">Early Stage Diabetes Risk Prediction dataset (UCI)</w:t>
      </w:r>
      <w:r>
        <w:t xml:space="preserve"> </w:t>
      </w:r>
      <w:r>
        <w:t xml:space="preserve">(symptom-based, categorical; smaller at 520).</w:t>
      </w:r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</w:p>
    <w:bookmarkEnd w:id="34"/>
    <w:bookmarkStart w:id="37" w:name="Xee6f6a248376cd51ac223b471ec5e1b68fbbbcc"/>
    <w:p>
      <w:pPr>
        <w:pStyle w:val="Heading3"/>
      </w:pPr>
      <w:r>
        <w:t xml:space="preserve">External “public knowledge” resources for interpretation and subgrouping</w:t>
      </w:r>
    </w:p>
    <w:p>
      <w:pPr>
        <w:pStyle w:val="FirstParagraph"/>
      </w:pPr>
      <w:r>
        <w:t xml:space="preserve">To make SHAP explanations and subgroup fairness choices defensible, anchor subgroup definitions in public health references: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BMI category thresholds</w:t>
      </w:r>
      <w:r>
        <w:t xml:space="preserve"> </w:t>
      </w:r>
      <w:r>
        <w:t xml:space="preserve">(for subgroup fairness slices such as healthy/overweight/obese): WHO and CDC publish standard category cutoffs (e.g., overweight ≥25, obesity ≥30).</w:t>
      </w:r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Diagnostic criteria context</w:t>
      </w:r>
      <w:r>
        <w:t xml:space="preserve"> </w:t>
      </w:r>
      <w:r>
        <w:t xml:space="preserve">(not for clinical advice, but for interpretation): ADA and NIDDK provide public descriptions of diagnostic thresholds (fasting glucose, A1C, etc.).</w:t>
      </w:r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</w:p>
    <w:p>
      <w:pPr>
        <w:pStyle w:val="FirstParagraph"/>
      </w:pPr>
      <w:r>
        <w:t xml:space="preserve">This external grounding supports your “clinically plausible explanations” argument without requiring private clinical collaborators.</w:t>
      </w:r>
    </w:p>
    <w:bookmarkEnd w:id="37"/>
    <w:bookmarkEnd w:id="38"/>
    <w:bookmarkStart w:id="56" w:name="methodology-and-system-design"/>
    <w:p>
      <w:pPr>
        <w:pStyle w:val="Heading2"/>
      </w:pPr>
      <w:r>
        <w:t xml:space="preserve">Methodology and system design</w:t>
      </w:r>
    </w:p>
    <w:bookmarkStart w:id="41" w:name="Xbb42d7a2883abf2d9f70fe384c908bb583897f9"/>
    <w:p>
      <w:pPr>
        <w:pStyle w:val="Heading3"/>
      </w:pPr>
      <w:r>
        <w:t xml:space="preserve">Research questions rewritten as measurable</w:t>
      </w:r>
    </w:p>
    <w:p>
      <w:pPr>
        <w:pStyle w:val="FirstParagraph"/>
      </w:pPr>
      <w:r>
        <w:t xml:space="preserve">Replace vague terms with testable criteria.</w:t>
      </w:r>
    </w:p>
    <w:p>
      <w:pPr>
        <w:pStyle w:val="BodyText"/>
      </w:pPr>
      <w:r>
        <w:rPr>
          <w:b/>
          <w:bCs/>
        </w:rPr>
        <w:t xml:space="preserve">Reframed RQ1 (privacy-performance-communication tradeoff)</w:t>
      </w:r>
      <w:r>
        <w:br/>
      </w:r>
      <w:r>
        <w:t xml:space="preserve">How close can federated models get to centralized performance and reliability under controlled IID and non-IID,</w:t>
      </w:r>
      <w:r>
        <w:t xml:space="preserve"> </w:t>
      </w:r>
      <w:r>
        <w:rPr>
          <w:i/>
          <w:iCs/>
        </w:rPr>
        <w:t xml:space="preserve">given measured communication cost</w:t>
      </w:r>
      <w:r>
        <w:t xml:space="preserve">?</w:t>
      </w:r>
    </w:p>
    <w:p>
      <w:pPr>
        <w:pStyle w:val="BodyText"/>
      </w:pPr>
      <w:r>
        <w:t xml:space="preserve">Operationalize as:</w:t>
      </w:r>
    </w:p>
    <w:p>
      <w:pPr>
        <w:pStyle w:val="Compact"/>
        <w:numPr>
          <w:ilvl w:val="0"/>
          <w:numId w:val="1005"/>
        </w:numPr>
      </w:pPr>
      <w:r>
        <w:t xml:space="preserve">Performance gap: ΔAUC, ΔF1 vs centralized (with CI across seeds).</w:t>
      </w:r>
    </w:p>
    <w:p>
      <w:pPr>
        <w:pStyle w:val="Compact"/>
        <w:numPr>
          <w:ilvl w:val="0"/>
          <w:numId w:val="1005"/>
        </w:numPr>
      </w:pPr>
      <w:r>
        <w:t xml:space="preserve">Reliability gap: ΔECE, ΔBrier vs centralized.</w:t>
      </w:r>
    </w:p>
    <w:p>
      <w:pPr>
        <w:pStyle w:val="Compact"/>
        <w:numPr>
          <w:ilvl w:val="0"/>
          <w:numId w:val="1005"/>
        </w:numPr>
      </w:pPr>
      <w:r>
        <w:t xml:space="preserve">Communication: total bytes transmitted, rounds-to-target, wall-clock (if measured).</w:t>
      </w:r>
      <w:r>
        <w:br/>
      </w:r>
      <w:r>
        <w:t xml:space="preserve">FedAvg-style FL explicitly treats communication as a primary constraint, so it must be part of the RQ, not an afterthought.</w:t>
      </w:r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</w:p>
    <w:p>
      <w:pPr>
        <w:pStyle w:val="FirstParagraph"/>
      </w:pPr>
      <w:r>
        <w:rPr>
          <w:b/>
          <w:bCs/>
        </w:rPr>
        <w:t xml:space="preserve">Reframed RQ2 (trustworthiness as a measurable construct)</w:t>
      </w:r>
      <w:r>
        <w:br/>
      </w:r>
      <w:r>
        <w:t xml:space="preserve">How do calibration, fairness, and explanation stability contribute to measurable trust and usability of federated risk predictions?</w:t>
      </w:r>
    </w:p>
    <w:p>
      <w:pPr>
        <w:pStyle w:val="BodyText"/>
      </w:pPr>
      <w:r>
        <w:t xml:space="preserve">Operationalize as:</w:t>
      </w:r>
    </w:p>
    <w:p>
      <w:pPr>
        <w:pStyle w:val="Compact"/>
        <w:numPr>
          <w:ilvl w:val="0"/>
          <w:numId w:val="1006"/>
        </w:numPr>
      </w:pPr>
      <w:r>
        <w:t xml:space="preserve">Calibration: ECE + reliability diagrams + Brier + log loss.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6"/>
        </w:numPr>
      </w:pPr>
      <w:r>
        <w:t xml:space="preserve">Fairness: demographic parity difference, equalized odds difference across age/BMI (and sex if dataset supports).</w:t>
      </w:r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6"/>
        </w:numPr>
      </w:pPr>
      <w:r>
        <w:t xml:space="preserve">Explainability stability: rank stability of top-k SHAP features across rounds and across clients (details below).</w:t>
      </w:r>
    </w:p>
    <w:p>
      <w:pPr>
        <w:pStyle w:val="Compact"/>
        <w:numPr>
          <w:ilvl w:val="0"/>
          <w:numId w:val="1006"/>
        </w:numPr>
      </w:pPr>
      <w:r>
        <w:t xml:space="preserve">Human trust: lightweight user study using validated trust instruments (even non-clinicians), since trust in AI-CDSS is recognized as multifactorial and evaluation methods vary widely.</w:t>
      </w:r>
      <w:r>
        <w:t xml:space="preserve"> </w:t>
      </w:r>
      <w:hyperlink r:id="rId40">
        <w:r>
          <w:rPr>
            <w:rStyle w:val="Hyperlink"/>
          </w:rPr>
          <w:t xml:space="preserve">[16]</w:t>
        </w:r>
      </w:hyperlink>
    </w:p>
    <w:bookmarkEnd w:id="41"/>
    <w:bookmarkStart w:id="43" w:name="federated-simulation-scenarios"/>
    <w:p>
      <w:pPr>
        <w:pStyle w:val="Heading3"/>
      </w:pPr>
      <w:r>
        <w:t xml:space="preserve">Federated simulation scenarios</w:t>
      </w:r>
    </w:p>
    <w:p>
      <w:pPr>
        <w:pStyle w:val="FirstParagraph"/>
      </w:pPr>
      <w:r>
        <w:t xml:space="preserve">You need</w:t>
      </w:r>
      <w:r>
        <w:t xml:space="preserve"> </w:t>
      </w:r>
      <w:r>
        <w:rPr>
          <w:b/>
          <w:bCs/>
        </w:rPr>
        <w:t xml:space="preserve">controlled federated splits</w:t>
      </w:r>
      <w:r>
        <w:t xml:space="preserve"> </w:t>
      </w:r>
      <w:r>
        <w:t xml:space="preserve">that are defensible and reproducible: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IID split</w:t>
      </w:r>
      <w:r>
        <w:t xml:space="preserve">: stratified random split of rows into K clients so class ratio is similar across clients.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Non-IID split (label skew via Dirichlet)</w:t>
      </w:r>
      <w:r>
        <w:t xml:space="preserve">: For each class</w:t>
      </w:r>
      <w:r>
        <w:t xml:space="preserve"> </w:t>
      </w:r>
      <m:oMath>
        <m:r>
          <m:t>c</m:t>
        </m:r>
      </m:oMath>
      <w:r>
        <w:t xml:space="preserve">, draw client proportions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Dirichlet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⋅</m:t>
            </m:r>
            <m:r>
              <m:rPr>
                <m:sty m:val="b"/>
              </m:rPr>
              <m:t>1</m:t>
            </m:r>
          </m:e>
        </m:d>
      </m:oMath>
      <w:r>
        <w:t xml:space="preserve">, then allocate class-c samples accordingly. Flower documents Dirichlet-style label-skew splitting as a canonical non-IID simulation approach.</w:t>
      </w:r>
      <w:r>
        <w:t xml:space="preserve"> </w:t>
      </w:r>
      <w:hyperlink r:id="rId42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7"/>
        </w:numPr>
      </w:pPr>
      <w:r>
        <w:t xml:space="preserve">Non-IID severity: vary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(e.g., 0.1, 0.5, 1.0) to quantify robustness vs heterogeneity.</w:t>
      </w:r>
    </w:p>
    <w:p>
      <w:pPr>
        <w:pStyle w:val="FirstParagraph"/>
      </w:pPr>
      <w:r>
        <w:t xml:space="preserve">Why this (and why not ad-hoc splits): Dirichlet label skew gives you a</w:t>
      </w:r>
      <w:r>
        <w:t xml:space="preserve"> </w:t>
      </w:r>
      <w:r>
        <w:rPr>
          <w:b/>
          <w:bCs/>
        </w:rPr>
        <w:t xml:space="preserve">tunable heterogeneity knob</w:t>
      </w:r>
      <w:r>
        <w:t xml:space="preserve"> </w:t>
      </w:r>
      <w:r>
        <w:t xml:space="preserve">and is widely used in FL benchmarks; ad-hoc handcrafted splits are harder to defend and reproduce.</w:t>
      </w:r>
      <w:r>
        <w:t xml:space="preserve"> </w:t>
      </w:r>
      <w:hyperlink r:id="rId42">
        <w:r>
          <w:rPr>
            <w:rStyle w:val="Hyperlink"/>
          </w:rPr>
          <w:t xml:space="preserve">[17]</w:t>
        </w:r>
      </w:hyperlink>
    </w:p>
    <w:bookmarkEnd w:id="43"/>
    <w:bookmarkStart w:id="46" w:name="fl-algorithms-to-implement"/>
    <w:p>
      <w:pPr>
        <w:pStyle w:val="Heading3"/>
      </w:pPr>
      <w:r>
        <w:t xml:space="preserve">FL algorithms to implement</w:t>
      </w:r>
    </w:p>
    <w:p>
      <w:pPr>
        <w:pStyle w:val="FirstParagraph"/>
      </w:pPr>
      <w:r>
        <w:t xml:space="preserve">You should implement</w:t>
      </w:r>
      <w:r>
        <w:t xml:space="preserve"> </w:t>
      </w:r>
      <w:r>
        <w:rPr>
          <w:b/>
          <w:bCs/>
        </w:rPr>
        <w:t xml:space="preserve">FedAvg</w:t>
      </w:r>
      <w:r>
        <w:t xml:space="preserve"> </w:t>
      </w:r>
      <w:r>
        <w:t xml:space="preserve">as the baseline, plus at least one heterogeneity-robust variant.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FedAvg</w:t>
      </w:r>
      <w:r>
        <w:t xml:space="preserve">: canonical baseline, widely cited.</w:t>
      </w:r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SCAFFOLD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FedNova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FedProx</w:t>
      </w:r>
      <w:r>
        <w:t xml:space="preserve">) as a robustness baseline:</w:t>
      </w:r>
    </w:p>
    <w:p>
      <w:pPr>
        <w:pStyle w:val="Compact"/>
        <w:numPr>
          <w:ilvl w:val="0"/>
          <w:numId w:val="1008"/>
        </w:numPr>
      </w:pPr>
      <w:r>
        <w:t xml:space="preserve">SCAFFOLD corrects “client drift” under heterogeneity via control variates.</w:t>
      </w:r>
      <w:r>
        <w:t xml:space="preserve"> </w:t>
      </w:r>
      <w:hyperlink r:id="rId44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8"/>
        </w:numPr>
      </w:pPr>
      <w:r>
        <w:t xml:space="preserve">FedNova addresses objective inconsistency via normalized averaging.</w:t>
      </w:r>
      <w:r>
        <w:t xml:space="preserve"> </w:t>
      </w:r>
      <w:hyperlink r:id="rId45">
        <w:r>
          <w:rPr>
            <w:rStyle w:val="Hyperlink"/>
          </w:rPr>
          <w:t xml:space="preserve">[20]</w:t>
        </w:r>
      </w:hyperlink>
    </w:p>
    <w:p>
      <w:pPr>
        <w:pStyle w:val="FirstParagraph"/>
      </w:pPr>
      <w:r>
        <w:t xml:space="preserve">Why: reviewer criticism explicitly targets realism under non-IID; one heterogeneity-aware method makes your results more credible than FedAvg-only.</w:t>
      </w:r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</w:p>
    <w:bookmarkEnd w:id="46"/>
    <w:bookmarkStart w:id="47" w:name="models-to-compare"/>
    <w:p>
      <w:pPr>
        <w:pStyle w:val="Heading3"/>
      </w:pPr>
      <w:r>
        <w:t xml:space="preserve">Models to compare</w:t>
      </w:r>
    </w:p>
    <w:p>
      <w:pPr>
        <w:pStyle w:val="FirstParagraph"/>
      </w:pPr>
      <w:r>
        <w:t xml:space="preserve">Keep to your original scope but make it systematic:</w:t>
      </w:r>
    </w:p>
    <w:p>
      <w:pPr>
        <w:pStyle w:val="Compact"/>
        <w:numPr>
          <w:ilvl w:val="0"/>
          <w:numId w:val="1009"/>
        </w:numPr>
      </w:pPr>
      <w:r>
        <w:t xml:space="preserve">Classical ML: Logistic Regression, Random Forest, Gradient Boosting / XGBoost-like (if you use open-source implementation), Decision Tree.</w:t>
      </w:r>
    </w:p>
    <w:p>
      <w:pPr>
        <w:pStyle w:val="Compact"/>
        <w:numPr>
          <w:ilvl w:val="0"/>
          <w:numId w:val="1009"/>
        </w:numPr>
      </w:pPr>
      <w:r>
        <w:t xml:space="preserve">Shallow DL: small MLP (1–2 hidden layers).</w:t>
      </w:r>
    </w:p>
    <w:p>
      <w:pPr>
        <w:pStyle w:val="FirstParagraph"/>
      </w:pPr>
      <w:r>
        <w:t xml:space="preserve">Why: classical ML is often strong on tabular data and easier to explain; shallow MLP tests whether modest non-linear capacity helps under FL constraints. Your proposal already frames this comparison. fileciteturn0file0</w:t>
      </w:r>
    </w:p>
    <w:bookmarkEnd w:id="47"/>
    <w:bookmarkStart w:id="50" w:name="calibration-design-in-federated-setting"/>
    <w:p>
      <w:pPr>
        <w:pStyle w:val="Heading3"/>
      </w:pPr>
      <w:r>
        <w:t xml:space="preserve">Calibration design in federated setting</w:t>
      </w:r>
    </w:p>
    <w:p>
      <w:pPr>
        <w:pStyle w:val="FirstParagraph"/>
      </w:pPr>
      <w:r>
        <w:t xml:space="preserve">This is where you can upgrade novelty.</w:t>
      </w:r>
    </w:p>
    <w:p>
      <w:pPr>
        <w:pStyle w:val="BodyText"/>
      </w:pPr>
      <w:r>
        <w:rPr>
          <w:b/>
          <w:bCs/>
        </w:rPr>
        <w:t xml:space="preserve">Calibration metrics and visuals you must include</w:t>
      </w:r>
    </w:p>
    <w:p>
      <w:pPr>
        <w:pStyle w:val="Compact"/>
        <w:numPr>
          <w:ilvl w:val="0"/>
          <w:numId w:val="1010"/>
        </w:numPr>
      </w:pPr>
      <w:r>
        <w:t xml:space="preserve">Reliability diagrams + ECE (Guo et al. popularized ECE as a scalar summary; reliability diagrams are the visual complement).</w:t>
      </w:r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10"/>
        </w:numPr>
      </w:pPr>
      <w:r>
        <w:t xml:space="preserve">Brier score and log loss (as proper scoring rules for probability quality).</w:t>
      </w:r>
      <w:r>
        <w:t xml:space="preserve"> </w:t>
      </w:r>
      <w:hyperlink r:id="rId48">
        <w:r>
          <w:rPr>
            <w:rStyle w:val="Hyperlink"/>
          </w:rPr>
          <w:t xml:space="preserve">[23]</w:t>
        </w:r>
      </w:hyperlink>
    </w:p>
    <w:p>
      <w:pPr>
        <w:pStyle w:val="FirstParagraph"/>
      </w:pPr>
      <w:r>
        <w:rPr>
          <w:b/>
          <w:bCs/>
        </w:rPr>
        <w:t xml:space="preserve">Calibration methods to compare (minimum viable set)</w:t>
      </w:r>
    </w:p>
    <w:p>
      <w:pPr>
        <w:pStyle w:val="Compact"/>
        <w:numPr>
          <w:ilvl w:val="0"/>
          <w:numId w:val="1011"/>
        </w:numPr>
      </w:pPr>
      <w:r>
        <w:t xml:space="preserve">Local post-hoc calibration using scikit-learn calibration tools: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Isotonic regression</w:t>
      </w:r>
      <w:r>
        <w:t xml:space="preserve"> </w:t>
      </w:r>
      <w:r>
        <w:t xml:space="preserve">(flexible, non-parametric) and</w:t>
      </w:r>
      <w:r>
        <w:t xml:space="preserve"> </w:t>
      </w:r>
      <w:r>
        <w:rPr>
          <w:b/>
          <w:bCs/>
        </w:rPr>
        <w:t xml:space="preserve">sigmoid/Platt scaling</w:t>
      </w:r>
      <w:r>
        <w:t xml:space="preserve"> </w:t>
      </w:r>
      <w:r>
        <w:t xml:space="preserve">(simpler, often safer with small calibration sets).</w:t>
      </w:r>
      <w:r>
        <w:t xml:space="preserve"> </w:t>
      </w:r>
      <w:hyperlink r:id="rId49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11"/>
        </w:numPr>
      </w:pPr>
      <w:r>
        <w:t xml:space="preserve">Federated calibration method (novelty upgrade):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FedCal</w:t>
      </w:r>
      <w:r>
        <w:t xml:space="preserve">-style aggregation of client-fitted scalers to achieve local + global calibration without a centralized calibration dataset.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pStyle w:val="FirstParagraph"/>
      </w:pPr>
      <w:r>
        <w:t xml:space="preserve">Why not isotonic-only: isotonic can overfit when calibration data per client is small; comparing against sigmoid scaling and a federated calibration approach makes your conclusions defensible.</w:t>
      </w:r>
      <w:r>
        <w:t xml:space="preserve"> </w:t>
      </w:r>
      <w:hyperlink r:id="rId27">
        <w:r>
          <w:rPr>
            <w:rStyle w:val="Hyperlink"/>
          </w:rPr>
          <w:t xml:space="preserve">[25]</w:t>
        </w:r>
      </w:hyperlink>
    </w:p>
    <w:bookmarkEnd w:id="50"/>
    <w:bookmarkStart w:id="52" w:name="X30b5975cc001757cd79891a1777ef3bf1db6f73"/>
    <w:p>
      <w:pPr>
        <w:pStyle w:val="Heading3"/>
      </w:pPr>
      <w:r>
        <w:t xml:space="preserve">Explainability design in federated setting</w:t>
      </w:r>
    </w:p>
    <w:p>
      <w:pPr>
        <w:pStyle w:val="FirstParagraph"/>
      </w:pPr>
      <w:r>
        <w:t xml:space="preserve">Use SHAP, but design it for FL constraints:</w:t>
      </w:r>
    </w:p>
    <w:p>
      <w:pPr>
        <w:pStyle w:val="Compact"/>
        <w:numPr>
          <w:ilvl w:val="0"/>
          <w:numId w:val="1012"/>
        </w:numPr>
      </w:pPr>
      <w:r>
        <w:t xml:space="preserve">SHAP provides feature-attribution explanations grounded in Shapley values and is widely used for tabular explainability.</w:t>
      </w:r>
      <w:r>
        <w:t xml:space="preserve"> </w:t>
      </w:r>
      <w:hyperlink r:id="rId51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12"/>
        </w:numPr>
      </w:pPr>
      <w:r>
        <w:t xml:space="preserve">Compute</w:t>
      </w:r>
      <w:r>
        <w:t xml:space="preserve"> </w:t>
      </w:r>
      <w:r>
        <w:rPr>
          <w:b/>
          <w:bCs/>
        </w:rPr>
        <w:t xml:space="preserve">local SHAP</w:t>
      </w:r>
      <w:r>
        <w:t xml:space="preserve"> </w:t>
      </w:r>
      <w:r>
        <w:t xml:space="preserve">on each client (privacy-preserving), then aggregate</w:t>
      </w:r>
      <w:r>
        <w:t xml:space="preserve"> </w:t>
      </w:r>
      <w:r>
        <w:rPr>
          <w:b/>
          <w:bCs/>
        </w:rPr>
        <w:t xml:space="preserve">summary statistics</w:t>
      </w:r>
      <w:r>
        <w:t xml:space="preserve"> </w:t>
      </w:r>
      <w:r>
        <w:t xml:space="preserve">(e.g., mean absolute SHAP per feature) to create a global “federated explanation.” A scoping review notes that aggregation can dilute node-specific patterns; your design should explicitly show both “global” and “per-client” explanations rather than collapsing everything into one plot.</w:t>
      </w:r>
      <w:r>
        <w:t xml:space="preserve"> </w:t>
      </w:r>
      <w:hyperlink r:id="rId26">
        <w:r>
          <w:rPr>
            <w:rStyle w:val="Hyperlink"/>
          </w:rPr>
          <w:t xml:space="preserve">[27]</w:t>
        </w:r>
      </w:hyperlink>
    </w:p>
    <w:p>
      <w:pPr>
        <w:pStyle w:val="FirstParagraph"/>
      </w:pPr>
      <w:r>
        <w:rPr>
          <w:b/>
          <w:bCs/>
        </w:rPr>
        <w:t xml:space="preserve">Explainability stability (required to answer reviewer criticism)</w:t>
      </w:r>
      <w:r>
        <w:br/>
      </w:r>
      <w:r>
        <w:t xml:space="preserve">Define a stability metric, for example:</w:t>
      </w:r>
    </w:p>
    <w:p>
      <w:pPr>
        <w:pStyle w:val="Compact"/>
        <w:numPr>
          <w:ilvl w:val="0"/>
          <w:numId w:val="1013"/>
        </w:numPr>
      </w:pPr>
      <w:r>
        <w:t xml:space="preserve">Round-to-round stability per client: Spearman correlation between feature-importance rankings at round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Cross-client stability: average pairwise rank correlation between clients’ global SHAP rankings at the final round.</w:t>
      </w:r>
    </w:p>
    <w:p>
      <w:pPr>
        <w:pStyle w:val="FirstParagraph"/>
      </w:pPr>
      <w:r>
        <w:t xml:space="preserve">Why: explainability in FL is still emerging; reviews call for more quantitative study of how FL affects explanations. A stability result is a concrete “not done enough yet” contribution.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bookmarkEnd w:id="52"/>
    <w:bookmarkStart w:id="54" w:name="fairness-and-subgroup-analysis"/>
    <w:p>
      <w:pPr>
        <w:pStyle w:val="Heading3"/>
      </w:pPr>
      <w:r>
        <w:t xml:space="preserve">Fairness and subgroup analysis</w:t>
      </w:r>
    </w:p>
    <w:p>
      <w:pPr>
        <w:pStyle w:val="FirstParagraph"/>
      </w:pPr>
      <w:r>
        <w:t xml:space="preserve">Fairness must be explicit because you’re building a decision-support-like system.</w:t>
      </w:r>
    </w:p>
    <w:p>
      <w:pPr>
        <w:pStyle w:val="Compact"/>
        <w:numPr>
          <w:ilvl w:val="0"/>
          <w:numId w:val="1014"/>
        </w:numPr>
      </w:pPr>
      <w:r>
        <w:t xml:space="preserve">Use group metrics such as demographic parity difference and equalized odds difference. Equalized odds is class-conditional and formalized in foundational fairness literature.</w:t>
      </w:r>
      <w:r>
        <w:t xml:space="preserve"> </w:t>
      </w:r>
      <w:hyperlink r:id="rId39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14"/>
        </w:numPr>
      </w:pPr>
      <w:r>
        <w:t xml:space="preserve">Implement metrics using a recognized toolkit (Fairlearn, AIF360). Fairlearn documents the definitions and computational forms of these metrics.</w:t>
      </w:r>
      <w:r>
        <w:t xml:space="preserve"> </w:t>
      </w:r>
      <w:hyperlink r:id="rId53">
        <w:r>
          <w:rPr>
            <w:rStyle w:val="Hyperlink"/>
          </w:rPr>
          <w:t xml:space="preserve">[29]</w:t>
        </w:r>
      </w:hyperlink>
    </w:p>
    <w:p>
      <w:pPr>
        <w:pStyle w:val="FirstParagraph"/>
      </w:pPr>
      <w:r>
        <w:t xml:space="preserve">Subgroups should be defensible and dataset-dependent:</w:t>
      </w:r>
    </w:p>
    <w:p>
      <w:pPr>
        <w:pStyle w:val="Compact"/>
        <w:numPr>
          <w:ilvl w:val="0"/>
          <w:numId w:val="1015"/>
        </w:numPr>
      </w:pPr>
      <w:r>
        <w:t xml:space="preserve">Pima: age bins (e.g., quartiles) and BMI categories (WHO/CDC thresholds).</w:t>
      </w:r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15"/>
        </w:numPr>
      </w:pPr>
      <w:r>
        <w:t xml:space="preserve">BRFSS/CDC indicators: age groups and sex are available in many variants; confirm exact columns from your chosen data file.</w:t>
      </w:r>
      <w:r>
        <w:t xml:space="preserve"> </w:t>
      </w:r>
      <w:hyperlink r:id="rId32">
        <w:r>
          <w:rPr>
            <w:rStyle w:val="Hyperlink"/>
          </w:rPr>
          <w:t xml:space="preserve">[30]</w:t>
        </w:r>
      </w:hyperlink>
    </w:p>
    <w:bookmarkEnd w:id="54"/>
    <w:bookmarkStart w:id="55" w:name="communication-cost-measurement"/>
    <w:p>
      <w:pPr>
        <w:pStyle w:val="Heading3"/>
      </w:pPr>
      <w:r>
        <w:t xml:space="preserve">Communication cost measurement</w:t>
      </w:r>
    </w:p>
    <w:p>
      <w:pPr>
        <w:pStyle w:val="FirstParagraph"/>
      </w:pPr>
      <w:r>
        <w:t xml:space="preserve">Add it as first-class experimental output:</w:t>
      </w:r>
    </w:p>
    <w:p>
      <w:pPr>
        <w:pStyle w:val="Compact"/>
        <w:numPr>
          <w:ilvl w:val="0"/>
          <w:numId w:val="1016"/>
        </w:numPr>
      </w:pPr>
      <w:r>
        <w:t xml:space="preserve">Record model size (bytes) and transmitted update size per round.</w:t>
      </w:r>
    </w:p>
    <w:p>
      <w:pPr>
        <w:pStyle w:val="Compact"/>
        <w:numPr>
          <w:ilvl w:val="0"/>
          <w:numId w:val="1016"/>
        </w:numPr>
      </w:pPr>
      <w:r>
        <w:t xml:space="preserve">Total bytes sent (clients→server and server→clients) and rounds-to-convergence/rounds-to-target-AUC.</w:t>
      </w:r>
    </w:p>
    <w:p>
      <w:pPr>
        <w:pStyle w:val="FirstParagraph"/>
      </w:pPr>
      <w:r>
        <w:t xml:space="preserve">Why: communication is routinely cited as a central FL constraint, and multiple surveys focus on practical overhead and deployment constraints.</w:t>
      </w:r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</w:p>
    <w:bookmarkEnd w:id="55"/>
    <w:bookmarkEnd w:id="56"/>
    <w:bookmarkStart w:id="67" w:name="implementation-blueprint-and-tooling"/>
    <w:p>
      <w:pPr>
        <w:pStyle w:val="Heading2"/>
      </w:pPr>
      <w:r>
        <w:t xml:space="preserve">Implementation blueprint and tooling</w:t>
      </w:r>
    </w:p>
    <w:bookmarkStart w:id="61" w:name="core-implementation-stack"/>
    <w:p>
      <w:pPr>
        <w:pStyle w:val="Heading3"/>
      </w:pPr>
      <w:r>
        <w:t xml:space="preserve">Core implementation stack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for end-to-end reproducibility.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Federated simulation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Flower</w:t>
      </w:r>
      <w:r>
        <w:t xml:space="preserve"> </w:t>
      </w:r>
      <w:r>
        <w:t xml:space="preserve">for a thesis: it is explicitly designed for federated AI systems, includes FedAvg strategy interfaces and tutorial patterns, and has non-IID benchmark splits documented.</w:t>
      </w:r>
      <w:r>
        <w:t xml:space="preserve"> </w:t>
      </w:r>
      <w:hyperlink r:id="rId57">
        <w:r>
          <w:rPr>
            <w:rStyle w:val="Hyperlink"/>
          </w:rPr>
          <w:t xml:space="preserve">[31]</w:t>
        </w:r>
      </w:hyperlink>
    </w:p>
    <w:p>
      <w:pPr>
        <w:pStyle w:val="Compact"/>
        <w:numPr>
          <w:ilvl w:val="0"/>
          <w:numId w:val="1017"/>
        </w:numPr>
      </w:pPr>
      <w:r>
        <w:t xml:space="preserve">Alternative:</w:t>
      </w:r>
      <w:r>
        <w:t xml:space="preserve"> </w:t>
      </w:r>
      <w:r>
        <w:rPr>
          <w:b/>
          <w:bCs/>
        </w:rPr>
        <w:t xml:space="preserve">TensorFlow Federated</w:t>
      </w:r>
      <w:r>
        <w:t xml:space="preserve"> </w:t>
      </w:r>
      <w:r>
        <w:t xml:space="preserve">(TFF) if you want deeper algorithm research primitives; it explicitly targets federated learning research simulations.</w:t>
      </w:r>
      <w:r>
        <w:t xml:space="preserve"> </w:t>
      </w:r>
      <w:hyperlink r:id="rId58">
        <w:r>
          <w:rPr>
            <w:rStyle w:val="Hyperlink"/>
          </w:rPr>
          <w:t xml:space="preserve">[32]</w:t>
        </w:r>
      </w:hyperlink>
    </w:p>
    <w:p>
      <w:pPr>
        <w:pStyle w:val="FirstParagraph"/>
      </w:pPr>
      <w:r>
        <w:rPr>
          <w:b/>
          <w:bCs/>
        </w:rPr>
        <w:t xml:space="preserve">Why Flower over TFF (typical thesis tradeoff)</w:t>
      </w:r>
      <w:r>
        <w:br/>
      </w:r>
      <w:r>
        <w:t xml:space="preserve">Flower tends to be faster to set up and model-framework-agnostic; TFF offers strong research abstractions but can impose more TensorFlow-specific complexity. Your choice should be justified by your team’s background and the need to deliver an advanced dashboard and multiple experiments on schedule.</w:t>
      </w:r>
      <w:r>
        <w:t xml:space="preserve"> </w:t>
      </w:r>
      <w:hyperlink r:id="rId23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Modeling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scikit-learn for classical ML and calibration utilities.</w:t>
      </w:r>
      <w:r>
        <w:t xml:space="preserve"> </w:t>
      </w:r>
      <w:hyperlink r:id="rId49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18"/>
        </w:numPr>
      </w:pPr>
      <w:r>
        <w:t xml:space="preserve">PyTorch or TensorFlow for MLP (choose one and stay consistent; Flower supports both patterns).</w:t>
      </w:r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Explainability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shap</w:t>
      </w:r>
      <w:r>
        <w:t xml:space="preserve"> </w:t>
      </w:r>
      <w:r>
        <w:t xml:space="preserve">package; use beeswarm/summary plots and waterfall plots for local cases.</w:t>
      </w:r>
      <w:r>
        <w:t xml:space="preserve"> </w:t>
      </w:r>
      <w:hyperlink r:id="rId59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Fairness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Fairlearn metrics (demographic parity, equalized odds).</w:t>
      </w:r>
      <w:r>
        <w:t xml:space="preserve"> </w:t>
      </w:r>
      <w:hyperlink r:id="rId53">
        <w:r>
          <w:rPr>
            <w:rStyle w:val="Hyperlink"/>
          </w:rPr>
          <w:t xml:space="preserve">[29]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Imbalance handling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SMOTE via imbalanced-learn (only if needed; apply within training folds to avoid leakage).</w:t>
      </w:r>
      <w:r>
        <w:t xml:space="preserve"> </w:t>
      </w:r>
      <w:hyperlink r:id="rId60">
        <w:r>
          <w:rPr>
            <w:rStyle w:val="Hyperlink"/>
          </w:rPr>
          <w:t xml:space="preserve">[37]</w:t>
        </w:r>
      </w:hyperlink>
    </w:p>
    <w:bookmarkEnd w:id="61"/>
    <w:bookmarkStart w:id="62" w:name="repository-architecture-what-to-build"/>
    <w:p>
      <w:pPr>
        <w:pStyle w:val="Heading3"/>
      </w:pPr>
      <w:r>
        <w:t xml:space="preserve">Repository architecture (what to build)</w:t>
      </w:r>
    </w:p>
    <w:p>
      <w:pPr>
        <w:pStyle w:val="FirstParagraph"/>
      </w:pPr>
      <w:r>
        <w:t xml:space="preserve">Design your code so experiments are one-command reproducible: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19"/>
        </w:numPr>
      </w:pPr>
      <w:r>
        <w:t xml:space="preserve">dataset download scripts (from official sources)</w:t>
      </w:r>
    </w:p>
    <w:p>
      <w:pPr>
        <w:pStyle w:val="Compact"/>
        <w:numPr>
          <w:ilvl w:val="0"/>
          <w:numId w:val="1019"/>
        </w:numPr>
      </w:pPr>
      <w:r>
        <w:t xml:space="preserve">preprocessing pipeline (imputation, scaling, encoding)</w:t>
      </w:r>
    </w:p>
    <w:p>
      <w:pPr>
        <w:pStyle w:val="Compact"/>
        <w:numPr>
          <w:ilvl w:val="0"/>
          <w:numId w:val="1019"/>
        </w:numPr>
      </w:pPr>
      <w:r>
        <w:t xml:space="preserve">federated partition creator (IID + non-IID Dirichlet with saved seeds)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fl/</w:t>
      </w:r>
    </w:p>
    <w:p>
      <w:pPr>
        <w:pStyle w:val="Compact"/>
        <w:numPr>
          <w:ilvl w:val="0"/>
          <w:numId w:val="1019"/>
        </w:numPr>
      </w:pPr>
      <w:r>
        <w:t xml:space="preserve">client training loop (sklearn models wrapped or torch model wrapper)</w:t>
      </w:r>
    </w:p>
    <w:p>
      <w:pPr>
        <w:pStyle w:val="Compact"/>
        <w:numPr>
          <w:ilvl w:val="0"/>
          <w:numId w:val="1019"/>
        </w:numPr>
      </w:pPr>
      <w:r>
        <w:t xml:space="preserve">server strategies (FedAvg baseline; calibration-aware weighting extension)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calibration/</w:t>
      </w:r>
    </w:p>
    <w:p>
      <w:pPr>
        <w:pStyle w:val="Compact"/>
        <w:numPr>
          <w:ilvl w:val="0"/>
          <w:numId w:val="1019"/>
        </w:numPr>
      </w:pPr>
      <w:r>
        <w:t xml:space="preserve">local calibrators (sigmoid, isotonic)</w:t>
      </w:r>
    </w:p>
    <w:p>
      <w:pPr>
        <w:pStyle w:val="Compact"/>
        <w:numPr>
          <w:ilvl w:val="0"/>
          <w:numId w:val="1019"/>
        </w:numPr>
      </w:pPr>
      <w:r>
        <w:t xml:space="preserve">federated calibrator (FedCal-style scaler aggregation)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xai/</w:t>
      </w:r>
    </w:p>
    <w:p>
      <w:pPr>
        <w:pStyle w:val="Compact"/>
        <w:numPr>
          <w:ilvl w:val="0"/>
          <w:numId w:val="1019"/>
        </w:numPr>
      </w:pPr>
      <w:r>
        <w:t xml:space="preserve">local SHAP computation</w:t>
      </w:r>
    </w:p>
    <w:p>
      <w:pPr>
        <w:pStyle w:val="Compact"/>
        <w:numPr>
          <w:ilvl w:val="0"/>
          <w:numId w:val="1019"/>
        </w:numPr>
      </w:pPr>
      <w:r>
        <w:t xml:space="preserve">aggregation of SHAP summaries + stability metrics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fairness/</w:t>
      </w:r>
    </w:p>
    <w:p>
      <w:pPr>
        <w:pStyle w:val="Compact"/>
        <w:numPr>
          <w:ilvl w:val="0"/>
          <w:numId w:val="1019"/>
        </w:numPr>
      </w:pPr>
      <w:r>
        <w:t xml:space="preserve">subgroup construction + fairness metrics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metrics/</w:t>
      </w:r>
    </w:p>
    <w:p>
      <w:pPr>
        <w:pStyle w:val="Compact"/>
        <w:numPr>
          <w:ilvl w:val="0"/>
          <w:numId w:val="1019"/>
        </w:numPr>
      </w:pPr>
      <w:r>
        <w:t xml:space="preserve">performance + calibration + comms + stability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dashboard/</w:t>
      </w:r>
    </w:p>
    <w:p>
      <w:pPr>
        <w:pStyle w:val="Compact"/>
        <w:numPr>
          <w:ilvl w:val="0"/>
          <w:numId w:val="1019"/>
        </w:numPr>
      </w:pPr>
      <w:r>
        <w:t xml:space="preserve">interactive app (Dash recommended for advanced UI complexity)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experiments/</w:t>
      </w:r>
    </w:p>
    <w:p>
      <w:pPr>
        <w:pStyle w:val="Compact"/>
        <w:numPr>
          <w:ilvl w:val="0"/>
          <w:numId w:val="1019"/>
        </w:numPr>
      </w:pPr>
      <w:r>
        <w:t xml:space="preserve">YAML/JSON configs for each run</w:t>
      </w:r>
    </w:p>
    <w:p>
      <w:pPr>
        <w:pStyle w:val="Compact"/>
        <w:numPr>
          <w:ilvl w:val="0"/>
          <w:numId w:val="1019"/>
        </w:numPr>
      </w:pPr>
      <w:r>
        <w:t xml:space="preserve">scripts to run ablations and save results</w:t>
      </w:r>
    </w:p>
    <w:bookmarkEnd w:id="62"/>
    <w:bookmarkStart w:id="63" w:name="X7f7e1f33fc95d103ff2fc3092fc3029a110d377"/>
    <w:p>
      <w:pPr>
        <w:pStyle w:val="Heading3"/>
      </w:pPr>
      <w:r>
        <w:t xml:space="preserve">Required “Implementation Specifications” content for the thesis document</w:t>
      </w:r>
    </w:p>
    <w:p>
      <w:pPr>
        <w:pStyle w:val="FirstParagraph"/>
      </w:pPr>
      <w:r>
        <w:t xml:space="preserve">Include these as diagrams/pseudocode in the thesis (reviewer explicitly asked):</w:t>
      </w:r>
    </w:p>
    <w:p>
      <w:pPr>
        <w:pStyle w:val="Compact"/>
        <w:numPr>
          <w:ilvl w:val="0"/>
          <w:numId w:val="1020"/>
        </w:numPr>
      </w:pPr>
      <w:r>
        <w:t xml:space="preserve">FedAvg pseudocode (client local epochs → server aggregation).</w:t>
      </w:r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20"/>
        </w:numPr>
      </w:pPr>
      <w:r>
        <w:t xml:space="preserve">Dirichlet non-IID split formulation and algorithm (with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parameter).</w:t>
      </w:r>
      <w:r>
        <w:t xml:space="preserve"> </w:t>
      </w:r>
      <w:hyperlink r:id="rId42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20"/>
        </w:numPr>
      </w:pPr>
      <w:r>
        <w:t xml:space="preserve">Calibration pipeline pseudocode (train → validate → calibrate → evaluate).</w:t>
      </w:r>
      <w:r>
        <w:t xml:space="preserve"> </w:t>
      </w:r>
      <w:hyperlink r:id="rId27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20"/>
        </w:numPr>
      </w:pPr>
      <w:r>
        <w:t xml:space="preserve">Dashboard architecture diagram (data flow from experiment artifacts to UI).</w:t>
      </w:r>
    </w:p>
    <w:bookmarkEnd w:id="63"/>
    <w:bookmarkStart w:id="66" w:name="literature-review-procedure"/>
    <w:p>
      <w:pPr>
        <w:pStyle w:val="Heading3"/>
      </w:pPr>
      <w:r>
        <w:t xml:space="preserve">Literature review procedure</w:t>
      </w:r>
    </w:p>
    <w:p>
      <w:pPr>
        <w:pStyle w:val="FirstParagraph"/>
      </w:pPr>
      <w:r>
        <w:t xml:space="preserve">Do a</w:t>
      </w:r>
      <w:r>
        <w:t xml:space="preserve"> </w:t>
      </w:r>
      <w:r>
        <w:rPr>
          <w:b/>
          <w:bCs/>
        </w:rPr>
        <w:t xml:space="preserve">systematic/scoping review</w:t>
      </w:r>
      <w:r>
        <w:t xml:space="preserve"> </w:t>
      </w:r>
      <w:r>
        <w:t xml:space="preserve">rather than an informal narrative:</w:t>
      </w:r>
    </w:p>
    <w:p>
      <w:pPr>
        <w:pStyle w:val="Compact"/>
        <w:numPr>
          <w:ilvl w:val="0"/>
          <w:numId w:val="1021"/>
        </w:numPr>
      </w:pPr>
      <w:r>
        <w:t xml:space="preserve">Use PRISMA-style reporting for transparency (databases searched, inclusion/exclusion, screening).</w:t>
      </w:r>
      <w:r>
        <w:t xml:space="preserve"> </w:t>
      </w:r>
      <w:hyperlink r:id="rId64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21"/>
        </w:numPr>
      </w:pPr>
      <w:r>
        <w:t xml:space="preserve">Use the most relevant modern reviews to anchor the space:</w:t>
      </w:r>
    </w:p>
    <w:p>
      <w:pPr>
        <w:pStyle w:val="Compact"/>
        <w:numPr>
          <w:ilvl w:val="0"/>
          <w:numId w:val="1021"/>
        </w:numPr>
      </w:pPr>
      <w:r>
        <w:t xml:space="preserve">privacy + healthcare FL risks and mitigations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21"/>
        </w:numPr>
      </w:pPr>
      <w:r>
        <w:t xml:space="preserve">explainable FL systematic/scoping reviews</w:t>
      </w:r>
      <w:r>
        <w:t xml:space="preserve"> </w:t>
      </w:r>
      <w:hyperlink r:id="rId65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21"/>
        </w:numPr>
      </w:pPr>
      <w:r>
        <w:t xml:space="preserve">calibration survey for definitions, metrics, and pitfalls</w:t>
      </w:r>
      <w:r>
        <w:t xml:space="preserve"> </w:t>
      </w:r>
      <w:hyperlink r:id="rId27">
        <w:r>
          <w:rPr>
            <w:rStyle w:val="Hyperlink"/>
          </w:rPr>
          <w:t xml:space="preserve">[41]</w:t>
        </w:r>
      </w:hyperlink>
    </w:p>
    <w:bookmarkEnd w:id="66"/>
    <w:bookmarkEnd w:id="67"/>
    <w:bookmarkStart w:id="74" w:name="evaluation-protocol"/>
    <w:p>
      <w:pPr>
        <w:pStyle w:val="Heading2"/>
      </w:pPr>
      <w:r>
        <w:t xml:space="preserve">Evaluation protocol</w:t>
      </w:r>
    </w:p>
    <w:bookmarkStart w:id="68" w:name="experimental-matrix"/>
    <w:p>
      <w:pPr>
        <w:pStyle w:val="Heading3"/>
      </w:pPr>
      <w:r>
        <w:t xml:space="preserve">Experimental matrix</w:t>
      </w:r>
    </w:p>
    <w:p>
      <w:pPr>
        <w:pStyle w:val="FirstParagraph"/>
      </w:pPr>
      <w:r>
        <w:t xml:space="preserve">Run the same structure across datasets (at least Pima + CDC indicators):</w:t>
      </w:r>
    </w:p>
    <w:p>
      <w:pPr>
        <w:pStyle w:val="Compact"/>
        <w:numPr>
          <w:ilvl w:val="0"/>
          <w:numId w:val="1022"/>
        </w:numPr>
      </w:pPr>
      <w:r>
        <w:t xml:space="preserve">Centralized baseline (upper bound): train on full training data.</w:t>
      </w:r>
    </w:p>
    <w:p>
      <w:pPr>
        <w:pStyle w:val="Compact"/>
        <w:numPr>
          <w:ilvl w:val="0"/>
          <w:numId w:val="1022"/>
        </w:numPr>
      </w:pPr>
      <w:r>
        <w:t xml:space="preserve">Local-only baseline: train separately per client, no aggregation.</w:t>
      </w:r>
    </w:p>
    <w:p>
      <w:pPr>
        <w:pStyle w:val="Compact"/>
        <w:numPr>
          <w:ilvl w:val="0"/>
          <w:numId w:val="1022"/>
        </w:numPr>
      </w:pPr>
      <w:r>
        <w:t xml:space="preserve">Federated baselines: FedAvg + one heterogeneity-aware method (SCAFFOLD or FedNova).</w:t>
      </w:r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22"/>
        </w:numPr>
      </w:pPr>
      <w:r>
        <w:t xml:space="preserve">Calibration conditions:</w:t>
      </w:r>
    </w:p>
    <w:p>
      <w:pPr>
        <w:pStyle w:val="Compact"/>
        <w:numPr>
          <w:ilvl w:val="0"/>
          <w:numId w:val="1022"/>
        </w:numPr>
      </w:pPr>
      <w:r>
        <w:t xml:space="preserve">uncalibrated</w:t>
      </w:r>
    </w:p>
    <w:p>
      <w:pPr>
        <w:pStyle w:val="Compact"/>
        <w:numPr>
          <w:ilvl w:val="0"/>
          <w:numId w:val="1022"/>
        </w:numPr>
      </w:pPr>
      <w:r>
        <w:t xml:space="preserve">local post-hoc calibrated (sigmoid vs isotonic)</w:t>
      </w:r>
    </w:p>
    <w:p>
      <w:pPr>
        <w:pStyle w:val="Compact"/>
        <w:numPr>
          <w:ilvl w:val="0"/>
          <w:numId w:val="1022"/>
        </w:numPr>
      </w:pPr>
      <w:r>
        <w:t xml:space="preserve">federated calibration (FedCal-style)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bookmarkEnd w:id="68"/>
    <w:bookmarkStart w:id="70" w:name="metrics-you-must-report-with-why"/>
    <w:p>
      <w:pPr>
        <w:pStyle w:val="Heading3"/>
      </w:pPr>
      <w:r>
        <w:t xml:space="preserve">Metrics you must report (with “why”)</w:t>
      </w:r>
    </w:p>
    <w:p>
      <w:pPr>
        <w:pStyle w:val="FirstParagraph"/>
      </w:pPr>
      <w:r>
        <w:rPr>
          <w:b/>
          <w:bCs/>
        </w:rPr>
        <w:t xml:space="preserve">Predictive performance</w:t>
      </w:r>
    </w:p>
    <w:p>
      <w:pPr>
        <w:pStyle w:val="Compact"/>
        <w:numPr>
          <w:ilvl w:val="0"/>
          <w:numId w:val="1023"/>
        </w:numPr>
      </w:pPr>
      <w:r>
        <w:t xml:space="preserve">AUROC, F1, precision/recall.</w:t>
      </w:r>
    </w:p>
    <w:p>
      <w:pPr>
        <w:pStyle w:val="FirstParagraph"/>
      </w:pPr>
      <w:r>
        <w:rPr>
          <w:b/>
          <w:bCs/>
        </w:rPr>
        <w:t xml:space="preserve">Calibration</w:t>
      </w:r>
    </w:p>
    <w:p>
      <w:pPr>
        <w:pStyle w:val="Compact"/>
        <w:numPr>
          <w:ilvl w:val="0"/>
          <w:numId w:val="1024"/>
        </w:numPr>
      </w:pPr>
      <w:r>
        <w:t xml:space="preserve">Reliability diagram + ECE.</w:t>
      </w:r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24"/>
        </w:numPr>
      </w:pPr>
      <w:r>
        <w:t xml:space="preserve">Brier score and log loss (probability quality).</w:t>
      </w:r>
      <w:r>
        <w:t xml:space="preserve"> </w:t>
      </w:r>
      <w:hyperlink r:id="rId48">
        <w:r>
          <w:rPr>
            <w:rStyle w:val="Hyperlink"/>
          </w:rPr>
          <w:t xml:space="preserve">[23]</w:t>
        </w:r>
      </w:hyperlink>
    </w:p>
    <w:p>
      <w:pPr>
        <w:pStyle w:val="FirstParagraph"/>
      </w:pPr>
      <w:r>
        <w:rPr>
          <w:b/>
          <w:bCs/>
        </w:rPr>
        <w:t xml:space="preserve">Fairness</w:t>
      </w:r>
    </w:p>
    <w:p>
      <w:pPr>
        <w:pStyle w:val="Compact"/>
        <w:numPr>
          <w:ilvl w:val="0"/>
          <w:numId w:val="1025"/>
        </w:numPr>
      </w:pPr>
      <w:r>
        <w:t xml:space="preserve">Demographic parity difference (selection rate dispersion).</w:t>
      </w:r>
      <w:r>
        <w:t xml:space="preserve"> </w:t>
      </w:r>
      <w:hyperlink r:id="rId53">
        <w:r>
          <w:rPr>
            <w:rStyle w:val="Hyperlink"/>
          </w:rPr>
          <w:t xml:space="preserve">[42]</w:t>
        </w:r>
      </w:hyperlink>
    </w:p>
    <w:p>
      <w:pPr>
        <w:pStyle w:val="Compact"/>
        <w:numPr>
          <w:ilvl w:val="0"/>
          <w:numId w:val="1025"/>
        </w:numPr>
      </w:pPr>
      <w:r>
        <w:t xml:space="preserve">Equalized odds difference (TPR/FPR parity).</w:t>
      </w:r>
      <w:r>
        <w:t xml:space="preserve"> </w:t>
      </w:r>
      <w:hyperlink r:id="rId39">
        <w:r>
          <w:rPr>
            <w:rStyle w:val="Hyperlink"/>
          </w:rPr>
          <w:t xml:space="preserve">[28]</w:t>
        </w:r>
      </w:hyperlink>
    </w:p>
    <w:p>
      <w:pPr>
        <w:pStyle w:val="FirstParagraph"/>
      </w:pPr>
      <w:r>
        <w:rPr>
          <w:b/>
          <w:bCs/>
        </w:rPr>
        <w:t xml:space="preserve">Communication</w:t>
      </w:r>
    </w:p>
    <w:p>
      <w:pPr>
        <w:pStyle w:val="Compact"/>
        <w:numPr>
          <w:ilvl w:val="0"/>
          <w:numId w:val="1026"/>
        </w:numPr>
      </w:pPr>
      <w:r>
        <w:t xml:space="preserve">Total bytes transmitted, model/update size, rounds-to-target-AUC.</w:t>
      </w:r>
    </w:p>
    <w:p>
      <w:pPr>
        <w:pStyle w:val="FirstParagraph"/>
      </w:pPr>
      <w:r>
        <w:rPr>
          <w:b/>
          <w:bCs/>
        </w:rPr>
        <w:t xml:space="preserve">Explainability</w:t>
      </w:r>
    </w:p>
    <w:p>
      <w:pPr>
        <w:pStyle w:val="Compact"/>
        <w:numPr>
          <w:ilvl w:val="0"/>
          <w:numId w:val="1027"/>
        </w:numPr>
      </w:pPr>
      <w:r>
        <w:t xml:space="preserve">Global SHAP summary (top features) per client and aggregated.</w:t>
      </w:r>
      <w:r>
        <w:t xml:space="preserve"> </w:t>
      </w:r>
      <w:hyperlink r:id="rId51">
        <w:r>
          <w:rPr>
            <w:rStyle w:val="Hyperlink"/>
          </w:rPr>
          <w:t xml:space="preserve">[43]</w:t>
        </w:r>
      </w:hyperlink>
    </w:p>
    <w:p>
      <w:pPr>
        <w:pStyle w:val="Compact"/>
        <w:numPr>
          <w:ilvl w:val="0"/>
          <w:numId w:val="1027"/>
        </w:numPr>
      </w:pPr>
      <w:r>
        <w:t xml:space="preserve">Explanation stability index (your defined metric), reported per non-IID severity.</w:t>
      </w:r>
    </w:p>
    <w:p>
      <w:pPr>
        <w:pStyle w:val="Compact"/>
        <w:numPr>
          <w:ilvl w:val="0"/>
          <w:numId w:val="1027"/>
        </w:numPr>
      </w:pPr>
      <w:r>
        <w:t xml:space="preserve">Optional “clinical plausibility proxy”: overlap between top-k SHAP features and known risk factors (grounded in public health context).</w:t>
      </w:r>
      <w:r>
        <w:t xml:space="preserve"> </w:t>
      </w:r>
      <w:hyperlink r:id="rId69">
        <w:r>
          <w:rPr>
            <w:rStyle w:val="Hyperlink"/>
          </w:rPr>
          <w:t xml:space="preserve">[44]</w:t>
        </w:r>
      </w:hyperlink>
    </w:p>
    <w:bookmarkEnd w:id="70"/>
    <w:bookmarkStart w:id="71" w:name="Xebf53767bd1e1908faeafc3c8140a5d9299b879"/>
    <w:p>
      <w:pPr>
        <w:pStyle w:val="Heading3"/>
      </w:pPr>
      <w:r>
        <w:t xml:space="preserve">Statistical rigor (what to do, not just what to say)</w:t>
      </w:r>
    </w:p>
    <w:p>
      <w:pPr>
        <w:pStyle w:val="Compact"/>
        <w:numPr>
          <w:ilvl w:val="0"/>
          <w:numId w:val="1028"/>
        </w:numPr>
      </w:pPr>
      <w:r>
        <w:t xml:space="preserve">Run each configuration with multiple random seeds (≥5).</w:t>
      </w:r>
    </w:p>
    <w:p>
      <w:pPr>
        <w:pStyle w:val="Compact"/>
        <w:numPr>
          <w:ilvl w:val="0"/>
          <w:numId w:val="1028"/>
        </w:numPr>
      </w:pPr>
      <w:r>
        <w:t xml:space="preserve">Report mean ± 95% CI; use paired tests (e.g., bootstrap CIs on metric differences) for federated vs centralized comparisons.</w:t>
      </w:r>
    </w:p>
    <w:p>
      <w:pPr>
        <w:pStyle w:val="Compact"/>
        <w:numPr>
          <w:ilvl w:val="0"/>
          <w:numId w:val="1028"/>
        </w:numPr>
      </w:pPr>
      <w:r>
        <w:t xml:space="preserve">Always separate</w:t>
      </w:r>
      <w:r>
        <w:t xml:space="preserve"> </w:t>
      </w:r>
      <w:r>
        <w:rPr>
          <w:b/>
          <w:bCs/>
        </w:rPr>
        <w:t xml:space="preserve">training</w:t>
      </w:r>
      <w:r>
        <w:t xml:space="preserve">,</w:t>
      </w:r>
      <w:r>
        <w:t xml:space="preserve"> </w:t>
      </w:r>
      <w:r>
        <w:rPr>
          <w:b/>
          <w:bCs/>
        </w:rPr>
        <w:t xml:space="preserve">calibration</w:t>
      </w:r>
      <w:r>
        <w:t xml:space="preserve">, and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data (especially critical when doing post-hoc calibration). scikit-learn calibration guidance emphasizes cross-validation approaches (e.g., CalibratedClassifierCV) to reduce bias/leakage.</w:t>
      </w:r>
      <w:r>
        <w:t xml:space="preserve"> </w:t>
      </w:r>
      <w:hyperlink r:id="rId49">
        <w:r>
          <w:rPr>
            <w:rStyle w:val="Hyperlink"/>
          </w:rPr>
          <w:t xml:space="preserve">[34]</w:t>
        </w:r>
      </w:hyperlink>
    </w:p>
    <w:bookmarkEnd w:id="71"/>
    <w:bookmarkStart w:id="73" w:name="X7c9cb7d021fec630e17cf87f551536e89e38613"/>
    <w:p>
      <w:pPr>
        <w:pStyle w:val="Heading3"/>
      </w:pPr>
      <w:r>
        <w:t xml:space="preserve">Sustainability claim correction (as requested by reviewer)</w:t>
      </w:r>
    </w:p>
    <w:p>
      <w:pPr>
        <w:pStyle w:val="FirstParagraph"/>
      </w:pPr>
      <w:r>
        <w:t xml:space="preserve">Revise the sustainability argument to be accurate:</w:t>
      </w:r>
    </w:p>
    <w:p>
      <w:pPr>
        <w:pStyle w:val="Compact"/>
        <w:numPr>
          <w:ilvl w:val="0"/>
          <w:numId w:val="1029"/>
        </w:numPr>
      </w:pPr>
      <w:r>
        <w:t xml:space="preserve">FL can reduce centralized data storage and raw-data movement, but it often increases iterative communication (model update exchanges). Practical FL surveys emphasize communication overhead as a key production barrier, so sustainability must be argued with nuance (e.g., fewer rounds, smaller models, compression), not “FL reduces communication.”</w:t>
      </w:r>
      <w:r>
        <w:t xml:space="preserve"> </w:t>
      </w:r>
      <w:hyperlink r:id="rId72">
        <w:r>
          <w:rPr>
            <w:rStyle w:val="Hyperlink"/>
          </w:rPr>
          <w:t xml:space="preserve">[45]</w:t>
        </w:r>
      </w:hyperlink>
    </w:p>
    <w:bookmarkEnd w:id="73"/>
    <w:bookmarkEnd w:id="74"/>
    <w:bookmarkStart w:id="81" w:name="X6759bfc4c1335ba9a6ad1e92cc7aa3026bc489b"/>
    <w:p>
      <w:pPr>
        <w:pStyle w:val="Heading2"/>
      </w:pPr>
      <w:r>
        <w:t xml:space="preserve">Advanced interface and visualization design</w:t>
      </w:r>
    </w:p>
    <w:p>
      <w:pPr>
        <w:pStyle w:val="FirstParagraph"/>
      </w:pPr>
      <w:r>
        <w:t xml:space="preserve">Your deliverable should be an</w:t>
      </w:r>
      <w:r>
        <w:t xml:space="preserve"> </w:t>
      </w:r>
      <w:r>
        <w:rPr>
          <w:b/>
          <w:bCs/>
        </w:rPr>
        <w:t xml:space="preserve">auditable decision-support style dashboard</w:t>
      </w:r>
      <w:r>
        <w:t xml:space="preserve">, not a basic plot collection. Dashboards also help you operationalize “trustworthiness” beyond equations.</w:t>
      </w:r>
    </w:p>
    <w:bookmarkStart w:id="75" w:name="dashboard-goals"/>
    <w:p>
      <w:pPr>
        <w:pStyle w:val="Heading3"/>
      </w:pPr>
      <w:r>
        <w:t xml:space="preserve">Dashboard goals</w:t>
      </w:r>
    </w:p>
    <w:p>
      <w:pPr>
        <w:pStyle w:val="Compact"/>
        <w:numPr>
          <w:ilvl w:val="0"/>
          <w:numId w:val="1030"/>
        </w:numPr>
      </w:pPr>
      <w:r>
        <w:t xml:space="preserve">Make it possible to answer, visually and interactively:</w:t>
      </w:r>
    </w:p>
    <w:p>
      <w:pPr>
        <w:pStyle w:val="Compact"/>
        <w:numPr>
          <w:ilvl w:val="0"/>
          <w:numId w:val="1030"/>
        </w:numPr>
      </w:pPr>
      <w:r>
        <w:t xml:space="preserve">“Is the risk score calibrated?” (reliability curve, ECE, Brier)</w:t>
      </w:r>
    </w:p>
    <w:p>
      <w:pPr>
        <w:pStyle w:val="Compact"/>
        <w:numPr>
          <w:ilvl w:val="0"/>
          <w:numId w:val="1030"/>
        </w:numPr>
      </w:pPr>
      <w:r>
        <w:t xml:space="preserve">“Does calibration differ by client or subgroup?” (per-client/per-group calibration)</w:t>
      </w:r>
    </w:p>
    <w:p>
      <w:pPr>
        <w:pStyle w:val="Compact"/>
        <w:numPr>
          <w:ilvl w:val="0"/>
          <w:numId w:val="1030"/>
        </w:numPr>
      </w:pPr>
      <w:r>
        <w:t xml:space="preserve">“Which features drive risk?” (global SHAP summary, local waterfall)</w:t>
      </w:r>
    </w:p>
    <w:p>
      <w:pPr>
        <w:pStyle w:val="Compact"/>
        <w:numPr>
          <w:ilvl w:val="0"/>
          <w:numId w:val="1030"/>
        </w:numPr>
      </w:pPr>
      <w:r>
        <w:t xml:space="preserve">“Are explanations stable across federated rounds?” (stability trend plot)</w:t>
      </w:r>
    </w:p>
    <w:p>
      <w:pPr>
        <w:pStyle w:val="Compact"/>
        <w:numPr>
          <w:ilvl w:val="0"/>
          <w:numId w:val="1030"/>
        </w:numPr>
      </w:pPr>
      <w:r>
        <w:t xml:space="preserve">“What is the cost of privacy?” (communication bytes, rounds, performance deltas)</w:t>
      </w:r>
    </w:p>
    <w:p>
      <w:pPr>
        <w:pStyle w:val="Compact"/>
        <w:numPr>
          <w:ilvl w:val="0"/>
          <w:numId w:val="1030"/>
        </w:numPr>
      </w:pPr>
      <w:r>
        <w:t xml:space="preserve">“Is there subgroup bias?” (fairness metric panels)</w:t>
      </w:r>
    </w:p>
    <w:bookmarkEnd w:id="75"/>
    <w:bookmarkStart w:id="77" w:name="recommended-ui-stack"/>
    <w:p>
      <w:pPr>
        <w:pStyle w:val="Heading3"/>
      </w:pPr>
      <w:r>
        <w:t xml:space="preserve">Recommended UI stack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Dash (Plotly)</w:t>
      </w:r>
      <w:r>
        <w:t xml:space="preserve"> </w:t>
      </w:r>
      <w:r>
        <w:t xml:space="preserve">for a genuinely advanced UI (multi-page layouts, callbacks, richer control panels). Dash is commonly used for interactive analytical dashboards and supports complex callback logic; it is typically more suitable than minimal “quick app” frameworks when you need a multi-view auditing interface.</w:t>
      </w:r>
      <w:r>
        <w:t xml:space="preserve"> </w:t>
      </w:r>
      <w:hyperlink r:id="rId76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31"/>
        </w:numPr>
      </w:pPr>
      <w:r>
        <w:t xml:space="preserve">Visualization libraries:</w:t>
      </w:r>
    </w:p>
    <w:p>
      <w:pPr>
        <w:pStyle w:val="Compact"/>
        <w:numPr>
          <w:ilvl w:val="0"/>
          <w:numId w:val="1031"/>
        </w:numPr>
      </w:pPr>
      <w:r>
        <w:t xml:space="preserve">Plotly charts for interactive calibration curves, ROC, confusion matrices, subgroup slicing.</w:t>
      </w:r>
    </w:p>
    <w:p>
      <w:pPr>
        <w:pStyle w:val="Compact"/>
        <w:numPr>
          <w:ilvl w:val="0"/>
          <w:numId w:val="1031"/>
        </w:numPr>
      </w:pPr>
      <w:r>
        <w:t xml:space="preserve">SHAP plots exported as images or rendered in-app (beeswarm and waterfall are directly documented).</w:t>
      </w:r>
      <w:r>
        <w:t xml:space="preserve"> </w:t>
      </w:r>
      <w:hyperlink r:id="rId59">
        <w:r>
          <w:rPr>
            <w:rStyle w:val="Hyperlink"/>
          </w:rPr>
          <w:t xml:space="preserve">[47]</w:t>
        </w:r>
      </w:hyperlink>
    </w:p>
    <w:bookmarkEnd w:id="77"/>
    <w:bookmarkStart w:id="78" w:name="suggested-dashboard-structure"/>
    <w:p>
      <w:pPr>
        <w:pStyle w:val="Heading3"/>
      </w:pPr>
      <w:r>
        <w:t xml:space="preserve">Suggested dashboard structure</w:t>
      </w:r>
    </w:p>
    <w:p>
      <w:pPr>
        <w:pStyle w:val="FirstParagraph"/>
      </w:pPr>
      <w:r>
        <w:rPr>
          <w:b/>
          <w:bCs/>
        </w:rPr>
        <w:t xml:space="preserve">Overview page</w:t>
      </w:r>
    </w:p>
    <w:p>
      <w:pPr>
        <w:pStyle w:val="Compact"/>
        <w:numPr>
          <w:ilvl w:val="0"/>
          <w:numId w:val="1032"/>
        </w:numPr>
      </w:pPr>
      <w:r>
        <w:t xml:space="preserve">Dropdowns: dataset, IID/non-IID setting, algorithm (FedAvg/SCAFFOLD), model type (LR/RF/MLP), calibration method</w:t>
      </w:r>
    </w:p>
    <w:p>
      <w:pPr>
        <w:pStyle w:val="Compact"/>
        <w:numPr>
          <w:ilvl w:val="0"/>
          <w:numId w:val="1032"/>
        </w:numPr>
      </w:pPr>
      <w:r>
        <w:t xml:space="preserve">KPI cards: AUROC, F1, ECE, Brier, total bytes, rounds</w:t>
      </w:r>
    </w:p>
    <w:p>
      <w:pPr>
        <w:pStyle w:val="FirstParagraph"/>
      </w:pPr>
      <w:r>
        <w:rPr>
          <w:b/>
          <w:bCs/>
        </w:rPr>
        <w:t xml:space="preserve">Calibration page</w:t>
      </w:r>
    </w:p>
    <w:p>
      <w:pPr>
        <w:pStyle w:val="Compact"/>
        <w:numPr>
          <w:ilvl w:val="0"/>
          <w:numId w:val="1033"/>
        </w:numPr>
      </w:pPr>
      <w:r>
        <w:t xml:space="preserve">Reliability diagrams (global + per-client) with bin counts</w:t>
      </w:r>
    </w:p>
    <w:p>
      <w:pPr>
        <w:pStyle w:val="Compact"/>
        <w:numPr>
          <w:ilvl w:val="0"/>
          <w:numId w:val="1033"/>
        </w:numPr>
      </w:pPr>
      <w:r>
        <w:t xml:space="preserve">ECE decomposition by subgroup (age bins, BMI categories)</w:t>
      </w:r>
    </w:p>
    <w:p>
      <w:pPr>
        <w:pStyle w:val="Compact"/>
        <w:numPr>
          <w:ilvl w:val="0"/>
          <w:numId w:val="1033"/>
        </w:numPr>
      </w:pPr>
      <w:r>
        <w:t xml:space="preserve">“Before vs after calibration” toggles</w:t>
      </w:r>
    </w:p>
    <w:p>
      <w:pPr>
        <w:pStyle w:val="FirstParagraph"/>
      </w:pPr>
      <w:r>
        <w:rPr>
          <w:b/>
          <w:bCs/>
        </w:rPr>
        <w:t xml:space="preserve">Explainability page</w:t>
      </w:r>
    </w:p>
    <w:p>
      <w:pPr>
        <w:pStyle w:val="Compact"/>
        <w:numPr>
          <w:ilvl w:val="0"/>
          <w:numId w:val="1034"/>
        </w:numPr>
      </w:pPr>
      <w:r>
        <w:t xml:space="preserve">Global SHAP beeswarm (per-client + aggregated)</w:t>
      </w:r>
    </w:p>
    <w:p>
      <w:pPr>
        <w:pStyle w:val="Compact"/>
        <w:numPr>
          <w:ilvl w:val="0"/>
          <w:numId w:val="1034"/>
        </w:numPr>
      </w:pPr>
      <w:r>
        <w:t xml:space="preserve">Local “patient case” explorer: select instance → waterfall plot (feature contributions)</w:t>
      </w:r>
    </w:p>
    <w:p>
      <w:pPr>
        <w:pStyle w:val="Compact"/>
        <w:numPr>
          <w:ilvl w:val="0"/>
          <w:numId w:val="1034"/>
        </w:numPr>
      </w:pPr>
      <w:r>
        <w:t xml:space="preserve">Stability: line plot of rank correlation across rounds</w:t>
      </w:r>
    </w:p>
    <w:p>
      <w:pPr>
        <w:pStyle w:val="FirstParagraph"/>
      </w:pPr>
      <w:r>
        <w:rPr>
          <w:b/>
          <w:bCs/>
        </w:rPr>
        <w:t xml:space="preserve">Fairness page</w:t>
      </w:r>
    </w:p>
    <w:p>
      <w:pPr>
        <w:pStyle w:val="Compact"/>
        <w:numPr>
          <w:ilvl w:val="0"/>
          <w:numId w:val="1035"/>
        </w:numPr>
      </w:pPr>
      <w:r>
        <w:t xml:space="preserve">Demographic parity difference &amp; equalized odds difference by subgroup</w:t>
      </w:r>
    </w:p>
    <w:p>
      <w:pPr>
        <w:pStyle w:val="Compact"/>
        <w:numPr>
          <w:ilvl w:val="0"/>
          <w:numId w:val="1035"/>
        </w:numPr>
      </w:pPr>
      <w:r>
        <w:t xml:space="preserve">Confusion matrix by subgroup</w:t>
      </w:r>
    </w:p>
    <w:p>
      <w:pPr>
        <w:pStyle w:val="FirstParagraph"/>
      </w:pPr>
      <w:r>
        <w:rPr>
          <w:b/>
          <w:bCs/>
        </w:rPr>
        <w:t xml:space="preserve">Federated training page</w:t>
      </w:r>
    </w:p>
    <w:p>
      <w:pPr>
        <w:pStyle w:val="Compact"/>
        <w:numPr>
          <w:ilvl w:val="0"/>
          <w:numId w:val="1036"/>
        </w:numPr>
      </w:pPr>
      <w:r>
        <w:t xml:space="preserve">Loss/metric progression by round</w:t>
      </w:r>
    </w:p>
    <w:p>
      <w:pPr>
        <w:pStyle w:val="Compact"/>
        <w:numPr>
          <w:ilvl w:val="0"/>
          <w:numId w:val="1036"/>
        </w:numPr>
      </w:pPr>
      <w:r>
        <w:t xml:space="preserve">Communication per round (bar/area)</w:t>
      </w:r>
    </w:p>
    <w:p>
      <w:pPr>
        <w:pStyle w:val="Compact"/>
        <w:numPr>
          <w:ilvl w:val="0"/>
          <w:numId w:val="1036"/>
        </w:numPr>
      </w:pPr>
      <w:r>
        <w:t xml:space="preserve">Client contribution weights (if you use weighted aggregation)</w:t>
      </w:r>
    </w:p>
    <w:bookmarkEnd w:id="78"/>
    <w:bookmarkStart w:id="80" w:name="X2e219ce9a612aa4d3363010750035a0992f9d72"/>
    <w:p>
      <w:pPr>
        <w:pStyle w:val="Heading3"/>
      </w:pPr>
      <w:r>
        <w:t xml:space="preserve">Measuring “perceived trustworthiness” without clinicians</w:t>
      </w:r>
    </w:p>
    <w:p>
      <w:pPr>
        <w:pStyle w:val="FirstParagraph"/>
      </w:pPr>
      <w:r>
        <w:t xml:space="preserve">If clinician access is unrealistic, you can still satisfy the reviewer by conducting a structured user evaluation:</w:t>
      </w:r>
    </w:p>
    <w:p>
      <w:pPr>
        <w:pStyle w:val="Compact"/>
        <w:numPr>
          <w:ilvl w:val="0"/>
          <w:numId w:val="1037"/>
        </w:numPr>
      </w:pPr>
      <w:r>
        <w:t xml:space="preserve">Recruit non-clinicians (students/engineers) to evaluate the dashboard’s transparency and trust using a validated trust instrument designed for AI/automation contexts in health decision settings (e.g., Short Trust in Automation Scale usage in health AI studies).</w:t>
      </w:r>
      <w:r>
        <w:t xml:space="preserve"> </w:t>
      </w:r>
      <w:hyperlink r:id="rId79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37"/>
        </w:numPr>
      </w:pPr>
      <w:r>
        <w:t xml:space="preserve">Combine survey scores with task-based evaluation (e.g., “identify top risk factors,” “spot calibration failure,” “compare two clients”) and measure correctness/time.</w:t>
      </w:r>
    </w:p>
    <w:p>
      <w:pPr>
        <w:pStyle w:val="FirstParagraph"/>
      </w:pPr>
      <w:r>
        <w:t xml:space="preserve">This makes “trustworthiness” empirically measurable even without clinical deployment, and you explicitly state the limitation.</w:t>
      </w:r>
    </w:p>
    <w:bookmarkEnd w:id="80"/>
    <w:bookmarkEnd w:id="81"/>
    <w:bookmarkStart w:id="85" w:name="X22c823ae7a9552fcbae4a90ce23010f73ef505b"/>
    <w:p>
      <w:pPr>
        <w:pStyle w:val="Heading2"/>
      </w:pPr>
      <w:r>
        <w:t xml:space="preserve">Thesis deliverables and write-up structure</w:t>
      </w:r>
    </w:p>
    <w:bookmarkStart w:id="82" w:name="what-you-will-produce-by-the-end"/>
    <w:p>
      <w:pPr>
        <w:pStyle w:val="Heading3"/>
      </w:pPr>
      <w:r>
        <w:t xml:space="preserve">What you will produce by the end</w:t>
      </w:r>
    </w:p>
    <w:p>
      <w:pPr>
        <w:pStyle w:val="FirstParagraph"/>
      </w:pPr>
      <w:r>
        <w:t xml:space="preserve">A complete thesis package should include:</w:t>
      </w:r>
    </w:p>
    <w:p>
      <w:pPr>
        <w:pStyle w:val="Compact"/>
        <w:numPr>
          <w:ilvl w:val="0"/>
          <w:numId w:val="1038"/>
        </w:numPr>
      </w:pPr>
      <w:r>
        <w:t xml:space="preserve">A reproducible FL experimentation codebase (public datasets only).</w:t>
      </w:r>
    </w:p>
    <w:p>
      <w:pPr>
        <w:pStyle w:val="Compact"/>
        <w:numPr>
          <w:ilvl w:val="0"/>
          <w:numId w:val="1038"/>
        </w:numPr>
      </w:pPr>
      <w:r>
        <w:t xml:space="preserve">Saved experiment artifacts (metrics tables, calibration plots, SHAP summaries, fairness reports, communication logs).</w:t>
      </w:r>
    </w:p>
    <w:p>
      <w:pPr>
        <w:pStyle w:val="Compact"/>
        <w:numPr>
          <w:ilvl w:val="0"/>
          <w:numId w:val="1038"/>
        </w:numPr>
      </w:pPr>
      <w:r>
        <w:t xml:space="preserve">An interactive dashboard that loads experiment artifacts and supports slicing across scenario/model/calibration choices.</w:t>
      </w:r>
    </w:p>
    <w:p>
      <w:pPr>
        <w:pStyle w:val="Compact"/>
        <w:numPr>
          <w:ilvl w:val="0"/>
          <w:numId w:val="1038"/>
        </w:numPr>
      </w:pPr>
      <w:r>
        <w:t xml:space="preserve">A systematic/scoping literature review chapter with transparent methodology (PRISMA-style reporting).</w:t>
      </w:r>
      <w:r>
        <w:t xml:space="preserve"> </w:t>
      </w:r>
      <w:hyperlink r:id="rId64">
        <w:r>
          <w:rPr>
            <w:rStyle w:val="Hyperlink"/>
          </w:rPr>
          <w:t xml:space="preserve">[39]</w:t>
        </w:r>
      </w:hyperlink>
    </w:p>
    <w:bookmarkEnd w:id="82"/>
    <w:bookmarkStart w:id="83" w:name="suggested-thesis-chapter-structure"/>
    <w:p>
      <w:pPr>
        <w:pStyle w:val="Heading3"/>
      </w:pPr>
      <w:r>
        <w:t xml:space="preserve">Suggested thesis chapter structure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Introduction</w:t>
      </w:r>
      <w:r>
        <w:t xml:space="preserve">: motivation, privacy constraints, why reliability matters (calibration) and why explainability matters for adoption. Calibration surveys emphasize why probability reliability is critical in decision-making contexts.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Background</w:t>
      </w:r>
      <w:r>
        <w:t xml:space="preserve">: FL basics (FedAvg), non-IID challenge, calibration concepts (ECE/reliability), SHAP, fairness metrics.</w:t>
      </w:r>
      <w:r>
        <w:t xml:space="preserve"> </w:t>
      </w:r>
      <w:hyperlink r:id="rId22">
        <w:r>
          <w:rPr>
            <w:rStyle w:val="Hyperlink"/>
          </w:rPr>
          <w:t xml:space="preserve">[49]</w:t>
        </w:r>
      </w:hyperlink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Related work</w:t>
      </w:r>
      <w:r>
        <w:t xml:space="preserve">: FL for healthcare; explainable FL (highlight gaps); federated calibration methods (FedCal) and calibration-aware aggregation.</w:t>
      </w:r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Methodology</w:t>
      </w:r>
      <w:r>
        <w:t xml:space="preserve">: datasets, preprocessing, federated partitioning (math + pseudocode), algorithms, calibration pipeline, SHAP pipeline, metrics.</w:t>
      </w:r>
      <w:r>
        <w:t xml:space="preserve"> </w:t>
      </w:r>
      <w:hyperlink r:id="rId42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Results</w:t>
      </w:r>
      <w:r>
        <w:t xml:space="preserve">: structured by RQ (performance+comms; calibration; fairness; explanation stability; dashboard demo; user trust study).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Discussion</w:t>
      </w:r>
      <w:r>
        <w:t xml:space="preserve">: tradeoffs, limitations (dataset representativeness, simulated federation), implications. Reviews emphasize that simulated FL may not capture full real-world complexity; acknowledge explicitly.</w:t>
      </w:r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Conclusion and future work</w:t>
      </w:r>
      <w:r>
        <w:t xml:space="preserve">: real clinical validation, secure aggregation/DP (optional), additional datasets.</w:t>
      </w:r>
    </w:p>
    <w:bookmarkEnd w:id="83"/>
    <w:bookmarkStart w:id="84" w:name="scope-control-rules-to-ensure-you-finish"/>
    <w:p>
      <w:pPr>
        <w:pStyle w:val="Heading3"/>
      </w:pPr>
      <w:r>
        <w:t xml:space="preserve">Scope control rules (to ensure you finish)</w:t>
      </w:r>
    </w:p>
    <w:p>
      <w:pPr>
        <w:pStyle w:val="FirstParagraph"/>
      </w:pPr>
      <w:r>
        <w:t xml:space="preserve">To keep this thesis achievable while still “deep”:</w:t>
      </w:r>
    </w:p>
    <w:p>
      <w:pPr>
        <w:pStyle w:val="Compact"/>
        <w:numPr>
          <w:ilvl w:val="0"/>
          <w:numId w:val="1040"/>
        </w:numPr>
      </w:pPr>
      <w:r>
        <w:t xml:space="preserve">Do not implement blockchain or heavy security layers unless required; instead, cite healthcare FL privacy/security risks and treat advanced privacy defenses as future work.</w:t>
      </w:r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40"/>
        </w:numPr>
      </w:pPr>
      <w:r>
        <w:t xml:space="preserve">Focus novelty on: (a) federated calibration (FedCal + local baselines), (b) explanation stability + reporting, (c) dashboard artifact, (d) measurable RQs including communication and fairness.</w:t>
      </w:r>
    </w:p>
    <w:p>
      <w:pPr>
        <w:pStyle w:val="FirstParagraph"/>
      </w:pPr>
      <w:r>
        <w:t xml:space="preserve">This plan directly responds to the review’s demands (systematic literature, measurable criteria, technical specs, broader evaluation, corrected sustainability framing) while upgrading the thesis into a publishable-quality, public-data, reproducible framework.</w:t>
      </w:r>
    </w:p>
    <w:bookmarkEnd w:id="84"/>
    <w:bookmarkEnd w:id="85"/>
    <w:bookmarkEnd w:id="86"/>
    <w:bookmarkEnd w:id="87"/>
    <w:p>
      <w:r>
        <w:pict>
          <v:rect style="width:0;height:1.5pt" o:hralign="center" o:hrstd="t" o:hr="t"/>
        </w:pict>
      </w:r>
    </w:p>
    <w:bookmarkStart w:id="8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Privacy preservation for federated learning in health care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https://www.sciencedirect.com/science/article/pii/S2666389924000825?utm_source=chatgpt.com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  <w:r>
        <w:t xml:space="preserve"> </w:t>
      </w:r>
      <w:hyperlink r:id="rId2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https://arxiv.org/abs/1602.05629</w:t>
      </w:r>
    </w:p>
    <w:p>
      <w:pPr>
        <w:pStyle w:val="BodyText"/>
      </w:pPr>
      <w:hyperlink r:id="rId22">
        <w:r>
          <w:rPr>
            <w:rStyle w:val="Hyperlink"/>
          </w:rPr>
          <w:t xml:space="preserve">https://arxiv.org/abs/1602.05629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[33]</w:t>
        </w:r>
      </w:hyperlink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Use a federated learning strategy - Flower Framework</w:t>
      </w:r>
    </w:p>
    <w:p>
      <w:pPr>
        <w:pStyle w:val="BodyText"/>
      </w:pPr>
      <w:hyperlink r:id="rId23">
        <w:r>
          <w:rPr>
            <w:rStyle w:val="Hyperlink"/>
          </w:rPr>
          <w:t xml:space="preserve">https://flower.ai/docs/framework/tutorial-series-use-a-federated-learning-strategy-pytorch.html?utm_source=chatgpt.com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On Calibration of Modern Neural Networks</w:t>
      </w:r>
    </w:p>
    <w:p>
      <w:pPr>
        <w:pStyle w:val="BodyText"/>
      </w:pPr>
      <w:hyperlink r:id="rId24">
        <w:r>
          <w:rPr>
            <w:rStyle w:val="Hyperlink"/>
          </w:rPr>
          <w:t xml:space="preserve">https://proceedings.mlr.press/v70/guo17a/guo17a.pdf?utm_source=chatgpt.com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https://arxiv.org/abs/2411.05874</w:t>
      </w:r>
    </w:p>
    <w:p>
      <w:pPr>
        <w:pStyle w:val="BodyText"/>
      </w:pPr>
      <w:hyperlink r:id="rId26">
        <w:r>
          <w:rPr>
            <w:rStyle w:val="Hyperlink"/>
          </w:rPr>
          <w:t xml:space="preserve">https://arxiv.org/abs/2411.05874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[25]</w:t>
        </w:r>
      </w:hyperlink>
      <w:r>
        <w:t xml:space="preserve"> </w:t>
      </w:r>
      <w:hyperlink r:id="rId2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Classifier calibration: a survey on how to assess and improve ...</w:t>
      </w:r>
    </w:p>
    <w:p>
      <w:pPr>
        <w:pStyle w:val="BodyText"/>
      </w:pPr>
      <w:hyperlink r:id="rId27">
        <w:r>
          <w:rPr>
            <w:rStyle w:val="Hyperlink"/>
          </w:rPr>
          <w:t xml:space="preserve">https://link.springer.com/article/10.1007/s10994-023-06336-7?utm_source=chatgpt.com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https://arxiv.org/html/2405.15458v1</w:t>
      </w:r>
    </w:p>
    <w:p>
      <w:pPr>
        <w:pStyle w:val="BodyText"/>
      </w:pPr>
      <w:hyperlink r:id="rId28">
        <w:r>
          <w:rPr>
            <w:rStyle w:val="Hyperlink"/>
          </w:rPr>
          <w:t xml:space="preserve">https://arxiv.org/html/2405.15458v1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https://www.sciencedirect.com/science/article/abs/pii/S0950705124014825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https://www.sciencedirect.com/science/article/abs/pii/S0950705124014825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https://perso.telecom-paristech.fr/mozharovskyi/datasets/data_descriptions/diabetes.pdf</w:t>
      </w:r>
    </w:p>
    <w:p>
      <w:pPr>
        <w:pStyle w:val="BodyText"/>
      </w:pPr>
      <w:hyperlink r:id="rId31">
        <w:r>
          <w:rPr>
            <w:rStyle w:val="Hyperlink"/>
          </w:rPr>
          <w:t xml:space="preserve">https://perso.telecom-paristech.fr/mozharovskyi/datasets/data_descriptions/diabetes.pdf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https://www.archive.ics.uci.edu/dataset/891/cdc%2Bdiabetes%2Bhealth%2Bindicators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https://www.archive.ics.uci.edu/dataset/891/cdc%2Bdiabetes%2Bhealth%2Bindicators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https://archive.ics.uci.edu/ml/datasets/Early%2Bstage%2Bdiabetes%2Brisk%2Bprediction%2Bdataset.</w:t>
      </w:r>
    </w:p>
    <w:p>
      <w:pPr>
        <w:pStyle w:val="BodyText"/>
      </w:pPr>
      <w:hyperlink r:id="rId33">
        <w:r>
          <w:rPr>
            <w:rStyle w:val="Hyperlink"/>
          </w:rPr>
          <w:t xml:space="preserve">https://archive.ics.uci.edu/ml/datasets/Early%2Bstage%2Bdiabetes%2Brisk%2Bprediction%2Bdataset.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https://www.who.int/news-room/fact-sheets/detail/obesity-and-overweight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https://www.who.int/news-room/fact-sheets/detail/obesity-and-overweight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https://diabetes.org/about-diabetes/diagnosis</w:t>
      </w:r>
    </w:p>
    <w:p>
      <w:pPr>
        <w:pStyle w:val="BodyText"/>
      </w:pPr>
      <w:hyperlink r:id="rId36">
        <w:r>
          <w:rPr>
            <w:rStyle w:val="Hyperlink"/>
          </w:rPr>
          <w:t xml:space="preserve">https://diabetes.org/about-diabetes/diagnosis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hyperlink r:id="rId3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[PDF] Equality of Opportunity in Supervised Learning - TTIC</w:t>
      </w:r>
    </w:p>
    <w:p>
      <w:pPr>
        <w:pStyle w:val="BodyText"/>
      </w:pPr>
      <w:hyperlink r:id="rId39">
        <w:r>
          <w:rPr>
            <w:rStyle w:val="Hyperlink"/>
          </w:rPr>
          <w:t xml:space="preserve">https://home.ttic.edu/~nati/Publications/HardtPriceSrebro2016.pdf?utm_source=chatgpt.com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https://www.jmir.org/2025/1/e69678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https://www.jmir.org/2025/1/e69678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hyperlink r:id="rId42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Federated Learning on Non-IID Data Silos</w:t>
      </w:r>
    </w:p>
    <w:p>
      <w:pPr>
        <w:pStyle w:val="BodyText"/>
      </w:pPr>
      <w:hyperlink r:id="rId42">
        <w:r>
          <w:rPr>
            <w:rStyle w:val="Hyperlink"/>
          </w:rPr>
          <w:t xml:space="preserve">https://flower.ai/docs/baselines/niid_bench.html?utm_source=chatgpt.com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https://proceedings.mlr.press/v119/karimireddy20a.html</w:t>
      </w:r>
    </w:p>
    <w:p>
      <w:pPr>
        <w:pStyle w:val="BodyText"/>
      </w:pPr>
      <w:hyperlink r:id="rId44">
        <w:r>
          <w:rPr>
            <w:rStyle w:val="Hyperlink"/>
          </w:rPr>
          <w:t xml:space="preserve">https://proceedings.mlr.press/v119/karimireddy20a.html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https://arxiv.org/abs/2007.07481</w:t>
      </w:r>
    </w:p>
    <w:p>
      <w:pPr>
        <w:pStyle w:val="BodyText"/>
      </w:pPr>
      <w:hyperlink r:id="rId45">
        <w:r>
          <w:rPr>
            <w:rStyle w:val="Hyperlink"/>
          </w:rPr>
          <w:t xml:space="preserve">https://arxiv.org/abs/2007.07481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Brier score</w:t>
      </w:r>
    </w:p>
    <w:p>
      <w:pPr>
        <w:pStyle w:val="BodyText"/>
      </w:pPr>
      <w:hyperlink r:id="rId48">
        <w:r>
          <w:rPr>
            <w:rStyle w:val="Hyperlink"/>
          </w:rPr>
          <w:t xml:space="preserve">https://en.wikipedia.org/wiki/Brier_score?utm_source=chatgpt.com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[24]</w:t>
        </w:r>
      </w:hyperlink>
      <w:r>
        <w:t xml:space="preserve"> </w:t>
      </w:r>
      <w:hyperlink r:id="rId49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1.16. Probability calibration</w:t>
      </w:r>
    </w:p>
    <w:p>
      <w:pPr>
        <w:pStyle w:val="BodyText"/>
      </w:pPr>
      <w:hyperlink r:id="rId49">
        <w:r>
          <w:rPr>
            <w:rStyle w:val="Hyperlink"/>
          </w:rPr>
          <w:t xml:space="preserve">https://scikit-learn.org/stable/modules/calibration.html?utm_source=chatgpt.com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[26]</w:t>
        </w:r>
      </w:hyperlink>
      <w:r>
        <w:t xml:space="preserve"> </w:t>
      </w:r>
      <w:hyperlink r:id="rId51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A Unified Approach to Interpreting Model Predictions</w:t>
      </w:r>
    </w:p>
    <w:p>
      <w:pPr>
        <w:pStyle w:val="BodyText"/>
      </w:pPr>
      <w:hyperlink r:id="rId51">
        <w:r>
          <w:rPr>
            <w:rStyle w:val="Hyperlink"/>
          </w:rPr>
          <w:t xml:space="preserve">https://papers.nips.cc/paper/7062-a-unified-approach-to-interpreting-model-predictions?utm_source=chatgpt.com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[29]</w:t>
        </w:r>
      </w:hyperlink>
      <w:r>
        <w:t xml:space="preserve"> </w:t>
      </w:r>
      <w:hyperlink r:id="rId53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https://fairlearn.org/v0.5.0/api_reference/fairlearn.metrics.html</w:t>
      </w:r>
    </w:p>
    <w:p>
      <w:pPr>
        <w:pStyle w:val="BodyText"/>
      </w:pPr>
      <w:hyperlink r:id="rId53">
        <w:r>
          <w:rPr>
            <w:rStyle w:val="Hyperlink"/>
          </w:rPr>
          <w:t xml:space="preserve">https://fairlearn.org/v0.5.0/api_reference/fairlearn.metrics.html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flwrlabs/flower: Flower: A Friendly Federated AI Framework</w:t>
      </w:r>
    </w:p>
    <w:p>
      <w:pPr>
        <w:pStyle w:val="BodyText"/>
      </w:pPr>
      <w:hyperlink r:id="rId57">
        <w:r>
          <w:rPr>
            <w:rStyle w:val="Hyperlink"/>
          </w:rPr>
          <w:t xml:space="preserve">https://github.com/flwrlabs/flower?utm_source=chatgpt.com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Using TFF for Federated Learning Research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https://www.tensorflow.org/federated/tff_for_research?utm_source=chatgpt.com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[36]</w:t>
        </w:r>
      </w:hyperlink>
      <w:r>
        <w:t xml:space="preserve"> </w:t>
      </w:r>
      <w:hyperlink r:id="rId59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https://shap.readthedocs.io/en/latest/example_notebooks/api_examples/plots/beeswarm.html</w:t>
      </w:r>
    </w:p>
    <w:p>
      <w:pPr>
        <w:pStyle w:val="BodyText"/>
      </w:pPr>
      <w:hyperlink r:id="rId59">
        <w:r>
          <w:rPr>
            <w:rStyle w:val="Hyperlink"/>
          </w:rPr>
          <w:t xml:space="preserve">https://shap.readthedocs.io/en/latest/example_notebooks/api_examples/plots/beeswarm.html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SMOTE — Version 0.14.1</w:t>
      </w:r>
    </w:p>
    <w:p>
      <w:pPr>
        <w:pStyle w:val="BodyText"/>
      </w:pPr>
      <w:hyperlink r:id="rId60">
        <w:r>
          <w:rPr>
            <w:rStyle w:val="Hyperlink"/>
          </w:rPr>
          <w:t xml:space="preserve">https://imbalanced-learn.org/stable/references/generated/imblearn.over_sampling.SMOTE.html?utm_source=chatgpt.com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https://www.bmj.com/content/372/bmj.n71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https://www.bmj.com/content/372/bmj.n71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https://ai.jmir.org/2026/1/e69985</w:t>
      </w:r>
    </w:p>
    <w:p>
      <w:pPr>
        <w:pStyle w:val="BodyText"/>
      </w:pPr>
      <w:hyperlink r:id="rId65">
        <w:r>
          <w:rPr>
            <w:rStyle w:val="Hyperlink"/>
          </w:rPr>
          <w:t xml:space="preserve">https://ai.jmir.org/2026/1/e69985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https://www.niddk.nih.gov/health-information/diabetes/overview/tests-diagnosis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https://www.niddk.nih.gov/health-information/diabetes/overview/tests-diagnosis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Exploring the Practicality of Federated Learning: A Survey ...</w:t>
      </w:r>
    </w:p>
    <w:p>
      <w:pPr>
        <w:pStyle w:val="BodyText"/>
      </w:pPr>
      <w:hyperlink r:id="rId72">
        <w:r>
          <w:rPr>
            <w:rStyle w:val="Hyperlink"/>
          </w:rPr>
          <w:t xml:space="preserve">https://arxiv.org/html/2405.20431v1?utm_source=chatgpt.com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https://dev.to/cesar_nikolascamacmelen/building-interactive-dashboards-with-streamlit-dash-and-bokeh-from-code-to-cloud-5hdb</w:t>
      </w:r>
    </w:p>
    <w:p>
      <w:pPr>
        <w:pStyle w:val="BodyText"/>
      </w:pPr>
      <w:hyperlink r:id="rId76">
        <w:r>
          <w:rPr>
            <w:rStyle w:val="Hyperlink"/>
          </w:rPr>
          <w:t xml:space="preserve">https://dev.to/cesar_nikolascamacmelen/building-interactive-dashboards-with-streamlit-dash-and-bokeh-from-code-to-cloud-5hdb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https://pmc.ncbi.nlm.nih.gov/articles/PMC12940213/</w:t>
      </w:r>
    </w:p>
    <w:p>
      <w:pPr>
        <w:pStyle w:val="BodyText"/>
      </w:pPr>
      <w:hyperlink r:id="rId79">
        <w:r>
          <w:rPr>
            <w:rStyle w:val="Hyperlink"/>
          </w:rPr>
          <w:t xml:space="preserve">https://pmc.ncbi.nlm.nih.gov/articles/PMC12940213/</w:t>
        </w:r>
      </w:hyperlink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5" Target="https://ai.jmir.org/2026/1/e69985" TargetMode="External" /><Relationship Type="http://schemas.openxmlformats.org/officeDocument/2006/relationships/hyperlink" Id="rId33" Target="https://archive.ics.uci.edu/ml/datasets/Early%2Bstage%2Bdiabetes%2Brisk%2Bprediction%2Bdataset." TargetMode="External" /><Relationship Type="http://schemas.openxmlformats.org/officeDocument/2006/relationships/hyperlink" Id="rId22" Target="https://arxiv.org/abs/1602.05629" TargetMode="External" /><Relationship Type="http://schemas.openxmlformats.org/officeDocument/2006/relationships/hyperlink" Id="rId45" Target="https://arxiv.org/abs/2007.07481" TargetMode="External" /><Relationship Type="http://schemas.openxmlformats.org/officeDocument/2006/relationships/hyperlink" Id="rId26" Target="https://arxiv.org/abs/2411.05874" TargetMode="External" /><Relationship Type="http://schemas.openxmlformats.org/officeDocument/2006/relationships/hyperlink" Id="rId28" Target="https://arxiv.org/html/2405.15458v1" TargetMode="External" /><Relationship Type="http://schemas.openxmlformats.org/officeDocument/2006/relationships/hyperlink" Id="rId72" Target="https://arxiv.org/html/2405.20431v1?utm_source=chatgpt.com" TargetMode="External" /><Relationship Type="http://schemas.openxmlformats.org/officeDocument/2006/relationships/hyperlink" Id="rId76" Target="https://dev.to/cesar_nikolascamacmelen/building-interactive-dashboards-with-streamlit-dash-and-bokeh-from-code-to-cloud-5hdb" TargetMode="External" /><Relationship Type="http://schemas.openxmlformats.org/officeDocument/2006/relationships/hyperlink" Id="rId36" Target="https://diabetes.org/about-diabetes/diagnosis" TargetMode="External" /><Relationship Type="http://schemas.openxmlformats.org/officeDocument/2006/relationships/hyperlink" Id="rId48" Target="https://en.wikipedia.org/wiki/Brier_score?utm_source=chatgpt.com" TargetMode="External" /><Relationship Type="http://schemas.openxmlformats.org/officeDocument/2006/relationships/hyperlink" Id="rId53" Target="https://fairlearn.org/v0.5.0/api_reference/fairlearn.metrics.html" TargetMode="External" /><Relationship Type="http://schemas.openxmlformats.org/officeDocument/2006/relationships/hyperlink" Id="rId42" Target="https://flower.ai/docs/baselines/niid_bench.html?utm_source=chatgpt.com" TargetMode="External" /><Relationship Type="http://schemas.openxmlformats.org/officeDocument/2006/relationships/hyperlink" Id="rId23" Target="https://flower.ai/docs/framework/tutorial-series-use-a-federated-learning-strategy-pytorch.html?utm_source=chatgpt.com" TargetMode="External" /><Relationship Type="http://schemas.openxmlformats.org/officeDocument/2006/relationships/hyperlink" Id="rId57" Target="https://github.com/flwrlabs/flower?utm_source=chatgpt.com" TargetMode="External" /><Relationship Type="http://schemas.openxmlformats.org/officeDocument/2006/relationships/hyperlink" Id="rId39" Target="https://home.ttic.edu/~nati/Publications/HardtPriceSrebro2016.pdf?utm_source=chatgpt.com" TargetMode="External" /><Relationship Type="http://schemas.openxmlformats.org/officeDocument/2006/relationships/hyperlink" Id="rId60" Target="https://imbalanced-learn.org/stable/references/generated/imblearn.over_sampling.SMOTE.html?utm_source=chatgpt.com" TargetMode="External" /><Relationship Type="http://schemas.openxmlformats.org/officeDocument/2006/relationships/hyperlink" Id="rId27" Target="https://link.springer.com/article/10.1007/s10994-023-06336-7?utm_source=chatgpt.com" TargetMode="External" /><Relationship Type="http://schemas.openxmlformats.org/officeDocument/2006/relationships/hyperlink" Id="rId51" Target="https://papers.nips.cc/paper/7062-a-unified-approach-to-interpreting-model-predictions?utm_source=chatgpt.com" TargetMode="External" /><Relationship Type="http://schemas.openxmlformats.org/officeDocument/2006/relationships/hyperlink" Id="rId31" Target="https://perso.telecom-paristech.fr/mozharovskyi/datasets/data_descriptions/diabetes.pdf" TargetMode="External" /><Relationship Type="http://schemas.openxmlformats.org/officeDocument/2006/relationships/hyperlink" Id="rId79" Target="https://pmc.ncbi.nlm.nih.gov/articles/PMC12940213/" TargetMode="External" /><Relationship Type="http://schemas.openxmlformats.org/officeDocument/2006/relationships/hyperlink" Id="rId44" Target="https://proceedings.mlr.press/v119/karimireddy20a.html" TargetMode="External" /><Relationship Type="http://schemas.openxmlformats.org/officeDocument/2006/relationships/hyperlink" Id="rId24" Target="https://proceedings.mlr.press/v70/guo17a/guo17a.pdf?utm_source=chatgpt.com" TargetMode="External" /><Relationship Type="http://schemas.openxmlformats.org/officeDocument/2006/relationships/hyperlink" Id="rId49" Target="https://scikit-learn.org/stable/modules/calibration.html?utm_source=chatgpt.com" TargetMode="External" /><Relationship Type="http://schemas.openxmlformats.org/officeDocument/2006/relationships/hyperlink" Id="rId59" Target="https://shap.readthedocs.io/en/latest/example_notebooks/api_examples/plots/beeswarm.html" TargetMode="External" /><Relationship Type="http://schemas.openxmlformats.org/officeDocument/2006/relationships/hyperlink" Id="rId32" Target="https://www.archive.ics.uci.edu/dataset/891/cdc%2Bdiabetes%2Bhealth%2Bindicators" TargetMode="External" /><Relationship Type="http://schemas.openxmlformats.org/officeDocument/2006/relationships/hyperlink" Id="rId64" Target="https://www.bmj.com/content/372/bmj.n71" TargetMode="External" /><Relationship Type="http://schemas.openxmlformats.org/officeDocument/2006/relationships/hyperlink" Id="rId40" Target="https://www.jmir.org/2025/1/e69678" TargetMode="External" /><Relationship Type="http://schemas.openxmlformats.org/officeDocument/2006/relationships/hyperlink" Id="rId69" Target="https://www.niddk.nih.gov/health-information/diabetes/overview/tests-diagnosis" TargetMode="External" /><Relationship Type="http://schemas.openxmlformats.org/officeDocument/2006/relationships/hyperlink" Id="rId29" Target="https://www.sciencedirect.com/science/article/abs/pii/S0950705124014825" TargetMode="External" /><Relationship Type="http://schemas.openxmlformats.org/officeDocument/2006/relationships/hyperlink" Id="rId21" Target="https://www.sciencedirect.com/science/article/pii/S2666389924000825?utm_source=chatgpt.com" TargetMode="External" /><Relationship Type="http://schemas.openxmlformats.org/officeDocument/2006/relationships/hyperlink" Id="rId58" Target="https://www.tensorflow.org/federated/tff_for_research?utm_source=chatgpt.com" TargetMode="External" /><Relationship Type="http://schemas.openxmlformats.org/officeDocument/2006/relationships/hyperlink" Id="rId35" Target="https://www.who.int/news-room/fact-sheets/detail/obesity-and-overweigh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ai.jmir.org/2026/1/e69985" TargetMode="External" /><Relationship Type="http://schemas.openxmlformats.org/officeDocument/2006/relationships/hyperlink" Id="rId33" Target="https://archive.ics.uci.edu/ml/datasets/Early%2Bstage%2Bdiabetes%2Brisk%2Bprediction%2Bdataset." TargetMode="External" /><Relationship Type="http://schemas.openxmlformats.org/officeDocument/2006/relationships/hyperlink" Id="rId22" Target="https://arxiv.org/abs/1602.05629" TargetMode="External" /><Relationship Type="http://schemas.openxmlformats.org/officeDocument/2006/relationships/hyperlink" Id="rId45" Target="https://arxiv.org/abs/2007.07481" TargetMode="External" /><Relationship Type="http://schemas.openxmlformats.org/officeDocument/2006/relationships/hyperlink" Id="rId26" Target="https://arxiv.org/abs/2411.05874" TargetMode="External" /><Relationship Type="http://schemas.openxmlformats.org/officeDocument/2006/relationships/hyperlink" Id="rId28" Target="https://arxiv.org/html/2405.15458v1" TargetMode="External" /><Relationship Type="http://schemas.openxmlformats.org/officeDocument/2006/relationships/hyperlink" Id="rId72" Target="https://arxiv.org/html/2405.20431v1?utm_source=chatgpt.com" TargetMode="External" /><Relationship Type="http://schemas.openxmlformats.org/officeDocument/2006/relationships/hyperlink" Id="rId76" Target="https://dev.to/cesar_nikolascamacmelen/building-interactive-dashboards-with-streamlit-dash-and-bokeh-from-code-to-cloud-5hdb" TargetMode="External" /><Relationship Type="http://schemas.openxmlformats.org/officeDocument/2006/relationships/hyperlink" Id="rId36" Target="https://diabetes.org/about-diabetes/diagnosis" TargetMode="External" /><Relationship Type="http://schemas.openxmlformats.org/officeDocument/2006/relationships/hyperlink" Id="rId48" Target="https://en.wikipedia.org/wiki/Brier_score?utm_source=chatgpt.com" TargetMode="External" /><Relationship Type="http://schemas.openxmlformats.org/officeDocument/2006/relationships/hyperlink" Id="rId53" Target="https://fairlearn.org/v0.5.0/api_reference/fairlearn.metrics.html" TargetMode="External" /><Relationship Type="http://schemas.openxmlformats.org/officeDocument/2006/relationships/hyperlink" Id="rId42" Target="https://flower.ai/docs/baselines/niid_bench.html?utm_source=chatgpt.com" TargetMode="External" /><Relationship Type="http://schemas.openxmlformats.org/officeDocument/2006/relationships/hyperlink" Id="rId23" Target="https://flower.ai/docs/framework/tutorial-series-use-a-federated-learning-strategy-pytorch.html?utm_source=chatgpt.com" TargetMode="External" /><Relationship Type="http://schemas.openxmlformats.org/officeDocument/2006/relationships/hyperlink" Id="rId57" Target="https://github.com/flwrlabs/flower?utm_source=chatgpt.com" TargetMode="External" /><Relationship Type="http://schemas.openxmlformats.org/officeDocument/2006/relationships/hyperlink" Id="rId39" Target="https://home.ttic.edu/~nati/Publications/HardtPriceSrebro2016.pdf?utm_source=chatgpt.com" TargetMode="External" /><Relationship Type="http://schemas.openxmlformats.org/officeDocument/2006/relationships/hyperlink" Id="rId60" Target="https://imbalanced-learn.org/stable/references/generated/imblearn.over_sampling.SMOTE.html?utm_source=chatgpt.com" TargetMode="External" /><Relationship Type="http://schemas.openxmlformats.org/officeDocument/2006/relationships/hyperlink" Id="rId27" Target="https://link.springer.com/article/10.1007/s10994-023-06336-7?utm_source=chatgpt.com" TargetMode="External" /><Relationship Type="http://schemas.openxmlformats.org/officeDocument/2006/relationships/hyperlink" Id="rId51" Target="https://papers.nips.cc/paper/7062-a-unified-approach-to-interpreting-model-predictions?utm_source=chatgpt.com" TargetMode="External" /><Relationship Type="http://schemas.openxmlformats.org/officeDocument/2006/relationships/hyperlink" Id="rId31" Target="https://perso.telecom-paristech.fr/mozharovskyi/datasets/data_descriptions/diabetes.pdf" TargetMode="External" /><Relationship Type="http://schemas.openxmlformats.org/officeDocument/2006/relationships/hyperlink" Id="rId79" Target="https://pmc.ncbi.nlm.nih.gov/articles/PMC12940213/" TargetMode="External" /><Relationship Type="http://schemas.openxmlformats.org/officeDocument/2006/relationships/hyperlink" Id="rId44" Target="https://proceedings.mlr.press/v119/karimireddy20a.html" TargetMode="External" /><Relationship Type="http://schemas.openxmlformats.org/officeDocument/2006/relationships/hyperlink" Id="rId24" Target="https://proceedings.mlr.press/v70/guo17a/guo17a.pdf?utm_source=chatgpt.com" TargetMode="External" /><Relationship Type="http://schemas.openxmlformats.org/officeDocument/2006/relationships/hyperlink" Id="rId49" Target="https://scikit-learn.org/stable/modules/calibration.html?utm_source=chatgpt.com" TargetMode="External" /><Relationship Type="http://schemas.openxmlformats.org/officeDocument/2006/relationships/hyperlink" Id="rId59" Target="https://shap.readthedocs.io/en/latest/example_notebooks/api_examples/plots/beeswarm.html" TargetMode="External" /><Relationship Type="http://schemas.openxmlformats.org/officeDocument/2006/relationships/hyperlink" Id="rId32" Target="https://www.archive.ics.uci.edu/dataset/891/cdc%2Bdiabetes%2Bhealth%2Bindicators" TargetMode="External" /><Relationship Type="http://schemas.openxmlformats.org/officeDocument/2006/relationships/hyperlink" Id="rId64" Target="https://www.bmj.com/content/372/bmj.n71" TargetMode="External" /><Relationship Type="http://schemas.openxmlformats.org/officeDocument/2006/relationships/hyperlink" Id="rId40" Target="https://www.jmir.org/2025/1/e69678" TargetMode="External" /><Relationship Type="http://schemas.openxmlformats.org/officeDocument/2006/relationships/hyperlink" Id="rId69" Target="https://www.niddk.nih.gov/health-information/diabetes/overview/tests-diagnosis" TargetMode="External" /><Relationship Type="http://schemas.openxmlformats.org/officeDocument/2006/relationships/hyperlink" Id="rId29" Target="https://www.sciencedirect.com/science/article/abs/pii/S0950705124014825" TargetMode="External" /><Relationship Type="http://schemas.openxmlformats.org/officeDocument/2006/relationships/hyperlink" Id="rId21" Target="https://www.sciencedirect.com/science/article/pii/S2666389924000825?utm_source=chatgpt.com" TargetMode="External" /><Relationship Type="http://schemas.openxmlformats.org/officeDocument/2006/relationships/hyperlink" Id="rId58" Target="https://www.tensorflow.org/federated/tff_for_research?utm_source=chatgpt.com" TargetMode="External" /><Relationship Type="http://schemas.openxmlformats.org/officeDocument/2006/relationships/hyperlink" Id="rId35" Target="https://www.who.int/news-room/fact-sheets/detail/obesity-and-overweigh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2026-04-13T11:48:57Z</dcterms:created>
  <dcterms:modified xsi:type="dcterms:W3CDTF">2026-04-13T11:48:57Z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