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 Facilities Request System</w:t>
      </w:r>
    </w:p>
    <w:p>
      <w:r>
        <w:t>User and administrator guide</w:t>
      </w:r>
    </w:p>
    <w:p>
      <w:r>
        <w:t>Prairie Research Institute, University of Illinois Urbana-Champaign</w:t>
      </w:r>
    </w:p>
    <w:p>
      <w:r>
        <w:t>Working system: three request types, the open-request board, ticket detail with confirmations, and the administration back end. Sign-on currently uses a development identity switcher; Shibboleth replaces it at deployment.</w:t>
      </w:r>
    </w:p>
    <w:p>
      <w:pPr>
        <w:pStyle w:val="Heading1"/>
      </w:pPr>
      <w:r>
        <w:t>1. What the system does</w:t>
      </w:r>
    </w:p>
    <w:p>
      <w:r>
        <w:t>Three PRI request forms are replaced by one application: the Facilities Work Request, the R2D2 move request, and the Shop Services Work Request. All three live behind one front door, share one board, and write to three Microsoft SQL Server databases. The point of consolidation is that a person reporting a problem sees what has already been reported for that building before a new ticket is accepted, so one flooded basement produces one ticket with several confirmations rather than a dozen competing tickets.</w:t>
      </w:r>
    </w:p>
    <w:p>
      <w:pPr>
        <w:pStyle w:val="Heading1"/>
      </w:pPr>
      <w:r>
        <w:t>2. Filing a request</w:t>
      </w:r>
    </w:p>
    <w:p>
      <w:r>
        <w:t>The home page offers three choices.</w:t>
      </w:r>
    </w:p>
    <w:p>
      <w:pPr>
        <w:pStyle w:val="ListBullet"/>
      </w:pPr>
      <w:r>
        <w:t>Facilities Work Request - a building issue needing repair. Pick the building and work type, describe the problem in one line, and the open requests for that building appear. Either open an existing ticket and choose "I am seeing this too", which raises its priority, or continue to the full form. The full form captures nature of request, severity, life-safety and specimen-risk flags, room, floor, written location, needed-by date, and filing on behalf of someone else - all data the old form did not collect.</w:t>
      </w:r>
    </w:p>
    <w:p>
      <w:pPr>
        <w:pStyle w:val="ListBullet"/>
      </w:pPr>
      <w:r>
        <w:t>Move Request - a header plus one row per item, matching the R2D2 structure. Each item carries move type, item type, PTag, PRI tag, serial number, description, origin and destination building and room, and custodians at both ends. Trash and surplus items need no destination and the form disables those fields. Marking any item as a tech item routes the request through IT review first.</w:t>
      </w:r>
    </w:p>
    <w:p>
      <w:pPr>
        <w:pStyle w:val="ListBullet"/>
      </w:pPr>
      <w:r>
        <w:t>Shop Services Work Request - the CFOP comes first and fills in the survey, account PI, and fund manager automatically; an unrecognized CFOP blocks submission. Description and business justification are required, and the approval chain (Account PI, Fund Manager, Shop Supervisor) opens the moment the request is filed.</w:t>
      </w:r>
    </w:p>
    <w:p>
      <w:pPr>
        <w:pStyle w:val="Heading2"/>
      </w:pPr>
      <w:r>
        <w:t>2.1 Emergencies</w:t>
      </w:r>
    </w:p>
    <w:p>
      <w:r>
        <w:t>Work types can be marked phone-only. Elevator entrapment is seeded that way: selecting it displays the instruction to call 911 immediately and refuses to create a ticket. Add or edit phone-only types and their wording through the work type reference data.</w:t>
      </w:r>
    </w:p>
    <w:p>
      <w:pPr>
        <w:pStyle w:val="Heading1"/>
      </w:pPr>
      <w:r>
        <w:t>3. The board</w:t>
      </w:r>
    </w:p>
    <w:p>
      <w:r>
        <w:t>Open Requests shows all three request types on three tabs, filtered by survey, status, and free text, with an option to include closed tickets. Work requests sort by computed priority and carry an urgency band; move and shop requests sort by needed-by date and flag anything overdue. Any view downloads as a spreadsheet. Clicking a row opens the ticket, which shows the full record, confirmations, notes (internal notes are visible only to coordinators and administrators), the approval or review chain, and the status history.</w:t>
      </w:r>
    </w:p>
    <w:p>
      <w:pPr>
        <w:pStyle w:val="Heading1"/>
      </w:pPr>
      <w:r>
        <w:t>4. Priority scoring</w:t>
      </w:r>
    </w:p>
    <w:p>
      <w:r>
        <w:t>Priority combines reported or triaged severity, the work type's category weight and severity floor, life-safety and specimen-risk flags, building criticality, a standing bump for remote sites, confirmations on a diminishing-returns curve, the number of distinct surveys confirming, and the age of the ticket. Every one of those weights, caps, and band thresholds is editable on the settings screen and takes effect immediately without a code change. Age is computed when the board is read, so priorities stay correct without a scheduled job.</w:t>
      </w:r>
    </w:p>
    <w:p>
      <w:pPr>
        <w:pStyle w:val="Heading1"/>
      </w:pPr>
      <w:r>
        <w:t>5. Administration</w:t>
      </w:r>
    </w:p>
    <w:p>
      <w:r>
        <w:t>The Admin link appears on every page and opens seven sections.</w:t>
      </w:r>
    </w:p>
    <w:p>
      <w:pPr>
        <w:pStyle w:val="ListBullet"/>
      </w:pPr>
      <w:r>
        <w:t>Queue and actions - triage severity and estimate, advance or close any ticket with a comment, and transfer a request to the campus Facilities and Services system. An estimate above the approval threshold opens the funding chain automatically; above the director threshold it adds the director stage.</w:t>
      </w:r>
    </w:p>
    <w:p>
      <w:pPr>
        <w:pStyle w:val="ListBullet"/>
      </w:pPr>
      <w:r>
        <w:t>Data tables - view any table in any of the three databases directly, newest first.</w:t>
      </w:r>
    </w:p>
    <w:p>
      <w:pPr>
        <w:pStyle w:val="ListBullet"/>
      </w:pPr>
      <w:r>
        <w:t>Transfers to F&amp;S - every request handed to the campus system with the reference number it was given. Transferred tickets stay on the board so duplicate suppression keeps working.</w:t>
      </w:r>
    </w:p>
    <w:p>
      <w:pPr>
        <w:pStyle w:val="ListBullet"/>
      </w:pPr>
      <w:r>
        <w:t>Import past data - upload a spreadsheet of historical requests. Nothing is written on the first pass: the file stages, every row validates, and a report names each row that would fail and why. Only then can you commit, and any committed batch reverses by batch number leaving no orphaned notes or history. Building names resolve through the alias table, so legacy files naming buildings only as free text load correctly.</w:t>
      </w:r>
    </w:p>
    <w:p>
      <w:pPr>
        <w:pStyle w:val="ListBullet"/>
      </w:pPr>
      <w:r>
        <w:t>Settings - every scoring weight, threshold, dollar limit, and ticket prefix. Saving writes to all three databases.</w:t>
      </w:r>
    </w:p>
    <w:p>
      <w:pPr>
        <w:pStyle w:val="ListBullet"/>
      </w:pPr>
      <w:r>
        <w:t>Reference data - publish the canonical reference copy to the other two databases and view the cross-database consistency report.</w:t>
      </w:r>
    </w:p>
    <w:p>
      <w:pPr>
        <w:pStyle w:val="ListBullet"/>
      </w:pPr>
      <w:r>
        <w:t>Example data - load or remove a set of realistic example tickets, staff, and CFOP accounts for evaluating the interface. Removing examples leaves anything you filed yourself intact.</w:t>
      </w:r>
    </w:p>
    <w:p>
      <w:pPr>
        <w:pStyle w:val="Heading1"/>
      </w:pPr>
      <w:r>
        <w:t>6. Ticket numbering</w:t>
      </w:r>
    </w:p>
    <w:p>
      <w:r>
        <w:t>Tickets are numbered by state fiscal year, which runs July 1 to June 30: FWO-FY27-00001 for facilities work orders, SMO-FY27-00001 for move orders, and SWO-FY27-00001 for shop work orders. Counters reset each July 1. The prefixes are settings.</w:t>
      </w:r>
    </w:p>
    <w:p>
      <w:pPr>
        <w:pStyle w:val="Heading1"/>
      </w:pPr>
      <w:r>
        <w:t>7. Roles</w:t>
      </w:r>
    </w:p>
    <w:p>
      <w:r>
        <w:t>Staff file any request type, confirm work requests, add notes, and view all open requests. Coordinators additionally triage, assign, estimate, change status, transfer, write internal notes, and export. Approvers record decisions on their stages. Administrators do everything plus settings, reference data, imports, and role assignment. Role checks happen on the server and refuse with a 403 rather than redirecting.</w:t>
      </w:r>
    </w:p>
    <w:p>
      <w:pPr>
        <w:pStyle w:val="Heading1"/>
      </w:pPr>
      <w:r>
        <w:t>8. Running it locally</w:t>
      </w:r>
    </w:p>
    <w:p>
      <w:r>
        <w:t>Double-click "PRI Facilities Request.vbs" in the application folder. The server starts and your browser opens on the application. Closing the browser leaves the server running; start-local.bat is the same thing with a visible console for troubleshooting. While the environment is set to development, a control in the page header switches the acting user, so every screen can be checked from a staff, coordinator, approver, or administrator perspective.</w:t>
      </w:r>
    </w:p>
    <w:p>
      <w:pPr>
        <w:pStyle w:val="Heading1"/>
      </w:pPr>
      <w:r>
        <w:t>9. Installation on the university server</w:t>
      </w:r>
    </w:p>
    <w:p>
      <w:r>
        <w:t>Nothing about the application is tied to a local machine. Copy the facilities and sql folders to the server, browse to install.php, and enter the connections for the three databases that campus IT provisions. The installer tests each connection, creates the schema, seeds the reference data, provisions the first administrator, writes config.php, and then disables itself. The host needs PHP 8.2 or later with the pdo_sqlsrv extension. No file is ever hand edited; to reinstall, delete config.php and reload.</w:t>
      </w:r>
    </w:p>
    <w:p>
      <w:pPr>
        <w:pStyle w:val="Heading1"/>
      </w:pPr>
      <w:r>
        <w:t>10. Shibboleth</w:t>
      </w:r>
    </w:p>
    <w:p>
      <w:r>
        <w:t>At deployment, the web server requires a Shibboleth session for the facilities directory and exposes the NetID, display name, mail, and organizational unit. The application reads those server variables, provisions a user row on first visit, stamps the last login, and enforces roles. No password logic exists in the application. The development identity switcher is disabled automatically when the installer marks the deployment as production.</w:t>
      </w:r>
    </w:p>
    <w:p>
      <w:pPr>
        <w:pStyle w:val="Heading1"/>
      </w:pPr>
      <w:r>
        <w:t>11. Known data gaps</w:t>
      </w:r>
    </w:p>
    <w:p>
      <w:pPr>
        <w:pStyle w:val="ListBullet"/>
      </w:pPr>
      <w:r>
        <w:t>Storage Building 2 is absent from the source building list; SB1, SB3, SB4, and SB5 are seeded. Parked pending the geodatabase crosswalk.</w:t>
      </w:r>
    </w:p>
    <w:p>
      <w:pPr>
        <w:pStyle w:val="ListBullet"/>
      </w:pPr>
      <w:r>
        <w:t>The ISAS Main Curations Space carries no building number and is seeded with the placeholder TBD. Parked pending the geodatabase crosswalk.</w:t>
      </w:r>
    </w:p>
    <w:p>
      <w:pPr>
        <w:pStyle w:val="ListBullet"/>
      </w:pPr>
      <w:r>
        <w:t>Coordinates, photograph metadata, and the map panel are not yet built; the schema holds the columns so adding them is a display change rather than a migration.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