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3294B"/>
          <w:sz w:val="40"/>
          <w:szCs w:val="40"/>
        </w:rPr>
        <w:t xml:space="preserve">Shared Laboratory Equipment System</w:t>
      </w:r>
    </w:p>
    <w:p>
      <w:pPr>
        <w:spacing w:after="40"/>
      </w:pPr>
      <w:r>
        <w:rPr>
          <w:color w:val="5B6672"/>
          <w:sz w:val="24"/>
          <w:szCs w:val="24"/>
        </w:rPr>
        <w:t xml:space="preserve">Installation, backup, and the NetID swap point</w:t>
      </w:r>
    </w:p>
    <w:p>
      <w:pPr>
        <w:spacing w:after="320"/>
      </w:pPr>
      <w:r>
        <w:rPr>
          <w:i/>
          <w:iCs/>
          <w:color w:val="5B6672"/>
          <w:sz w:val="20"/>
          <w:szCs w:val="20"/>
        </w:rPr>
        <w:t xml:space="preserve">Read this before copying the files onto the campus server.</w:t>
      </w:r>
    </w:p>
    <w:p>
      <w:pPr>
        <w:pStyle w:val="Heading1"/>
        <w:spacing w:after="160" w:before="360"/>
      </w:pPr>
      <w:r>
        <w:rPr>
          <w:b/>
          <w:bCs/>
          <w:color w:val="13294B"/>
          <w:sz w:val="30"/>
          <w:szCs w:val="30"/>
        </w:rPr>
        <w:t xml:space="preserve">1. What this is</w:t>
      </w:r>
    </w:p>
    <w:p>
      <w:pPr>
        <w:spacing w:after="140" w:line="276"/>
      </w:pPr>
      <w:r>
        <w:rPr>
          <w:sz w:val="21"/>
          <w:szCs w:val="21"/>
        </w:rPr>
        <w:t xml:space="preserve">A four-module web application that records equipment use in a shared laboratory, charges each use to a grant account, prevents scheduling conflicts, and produces a monthly charge report for the business office.</w:t>
      </w:r>
    </w:p>
    <w:p>
      <w:pPr>
        <w:spacing w:after="140" w:line="276"/>
      </w:pPr>
      <w:r>
        <w:rPr>
          <w:sz w:val="21"/>
          <w:szCs w:val="21"/>
        </w:rPr>
        <w:t xml:space="preserve">It is plain PHP and SQLite. There is no build step, no package manager, no service to run, and nothing loaded from outside the campus network. Deployment is copying the files into a web directory.</w:t>
      </w:r>
    </w:p>
    <w:p>
      <w:pPr>
        <w:pStyle w:val="Heading2"/>
        <w:spacing w:after="120" w:before="280"/>
      </w:pPr>
      <w:r>
        <w:rPr>
          <w:b/>
          <w:bCs/>
          <w:color w:val="13294B"/>
          <w:sz w:val="24"/>
          <w:szCs w:val="24"/>
        </w:rPr>
        <w:t xml:space="preserve">What the server has to provide</w:t>
      </w:r>
    </w:p>
    <w:p>
      <w:pPr>
        <w:pStyle w:val="ListParagraph"/>
        <w:numPr>
          <w:ilvl w:val="0"/>
          <w:numId w:val="2"/>
        </w:numPr>
        <w:spacing w:after="80" w:line="276"/>
      </w:pPr>
      <w:r>
        <w:rPr>
          <w:sz w:val="21"/>
          <w:szCs w:val="21"/>
        </w:rPr>
        <w:t xml:space="preserve">PHP 7.4 or later.</w:t>
      </w:r>
    </w:p>
    <w:p>
      <w:pPr>
        <w:pStyle w:val="ListParagraph"/>
        <w:numPr>
          <w:ilvl w:val="0"/>
          <w:numId w:val="2"/>
        </w:numPr>
        <w:spacing w:after="80" w:line="276"/>
      </w:pPr>
      <w:r>
        <w:rPr>
          <w:sz w:val="21"/>
          <w:szCs w:val="21"/>
        </w:rPr>
        <w:t xml:space="preserve">The PDO SQLite extension (pdo_sqlite), which ships with most campus web hosts.</w:t>
      </w:r>
    </w:p>
    <w:p>
      <w:pPr>
        <w:pStyle w:val="ListParagraph"/>
        <w:numPr>
          <w:ilvl w:val="0"/>
          <w:numId w:val="2"/>
        </w:numPr>
        <w:spacing w:after="80" w:line="276"/>
      </w:pPr>
      <w:r>
        <w:rPr>
          <w:sz w:val="21"/>
          <w:szCs w:val="21"/>
        </w:rPr>
        <w:t xml:space="preserve">A directory the web server can write to, for the database file.</w:t>
      </w:r>
    </w:p>
    <w:p>
      <w:pPr>
        <w:spacing w:after="140" w:line="276"/>
      </w:pPr>
      <w:r>
        <w:rPr>
          <w:sz w:val="21"/>
          <w:szCs w:val="21"/>
        </w:rPr>
        <w:t xml:space="preserve">Nothing else. No MySQL, no cron job, no shell access.</w:t>
      </w:r>
    </w:p>
    <w:p>
      <w:pPr>
        <w:pStyle w:val="Heading1"/>
        <w:spacing w:after="160" w:before="360"/>
      </w:pPr>
      <w:r>
        <w:rPr>
          <w:b/>
          <w:bCs/>
          <w:color w:val="13294B"/>
          <w:sz w:val="30"/>
          <w:szCs w:val="30"/>
        </w:rPr>
        <w:t xml:space="preserve">2. Installing</w:t>
      </w:r>
    </w:p>
    <w:p>
      <w:pPr>
        <w:spacing w:after="140" w:line="276"/>
      </w:pPr>
      <w:r>
        <w:rPr>
          <w:sz w:val="21"/>
          <w:szCs w:val="21"/>
        </w:rPr>
        <w:t xml:space="preserve">Five steps, in this order. Step one answers the only question that can stop the whole thing.</w:t>
      </w:r>
    </w:p>
    <w:p>
      <w:pPr>
        <w:pStyle w:val="ListParagraph"/>
        <w:numPr>
          <w:ilvl w:val="0"/>
          <w:numId w:val="3"/>
        </w:numPr>
        <w:spacing w:after="100" w:line="276"/>
      </w:pPr>
      <w:r>
        <w:rPr>
          <w:sz w:val="21"/>
          <w:szCs w:val="21"/>
        </w:rPr>
        <w:t xml:space="preserve">Copy check.php on its own into the web directory and open it in a browser. It reports the PHP version, the available PDO drivers, whether the data directory is writable, and whether a SQLite database can actually be created and read back. It takes under a minute. If it reports a failure, stop here: the rest of the application will not run, and the report says what is missing.</w:t>
      </w:r>
    </w:p>
    <w:p>
      <w:pPr>
        <w:pStyle w:val="ListParagraph"/>
        <w:numPr>
          <w:ilvl w:val="0"/>
          <w:numId w:val="3"/>
        </w:numPr>
        <w:spacing w:after="100" w:line="276"/>
      </w:pPr>
      <w:r>
        <w:rPr>
          <w:sz w:val="21"/>
          <w:szCs w:val="21"/>
        </w:rPr>
        <w:t xml:space="preserve">Copy the remaining files into the same directory, keeping the folder structure intact (admin/, assets/, includes/, data/).</w:t>
      </w:r>
    </w:p>
    <w:p>
      <w:pPr>
        <w:pStyle w:val="ListParagraph"/>
        <w:numPr>
          <w:ilvl w:val="0"/>
          <w:numId w:val="3"/>
        </w:numPr>
        <w:spacing w:after="100" w:line="276"/>
      </w:pPr>
      <w:r>
        <w:rPr>
          <w:sz w:val="21"/>
          <w:szCs w:val="21"/>
        </w:rPr>
        <w:t xml:space="preserve">Open install.php. Give the laboratory a name and create the first administrator account with a password of at least ten characters. Installing creates the database, seeds the six survey unit codes, and seeds the wording shown on each screen.</w:t>
      </w:r>
    </w:p>
    <w:p>
      <w:pPr>
        <w:pStyle w:val="ListParagraph"/>
        <w:numPr>
          <w:ilvl w:val="0"/>
          <w:numId w:val="3"/>
        </w:numPr>
        <w:spacing w:after="100" w:line="276"/>
      </w:pPr>
      <w:r>
        <w:rPr>
          <w:sz w:val="21"/>
          <w:szCs w:val="21"/>
        </w:rPr>
        <w:t xml:space="preserve">The installer locks itself as soon as it succeeds, by writing data/.installed. Delete check.php and install.php from the server once the application is running; neither is needed again.</w:t>
      </w:r>
    </w:p>
    <w:p>
      <w:pPr>
        <w:pStyle w:val="ListParagraph"/>
        <w:numPr>
          <w:ilvl w:val="0"/>
          <w:numId w:val="3"/>
        </w:numPr>
        <w:spacing w:after="100" w:line="276"/>
      </w:pPr>
      <w:r>
        <w:rPr>
          <w:sz w:val="21"/>
          <w:szCs w:val="21"/>
        </w:rPr>
        <w:t xml:space="preserve">Sign in to the administrative panel and add your instruments and grants. The use entry form has nothing to offer until the equipment table has rows in it.</w:t>
      </w:r>
    </w:p>
    <w:p>
      <w:pPr>
        <w:spacing w:after="160"/>
      </w:pPr>
    </w:p>
    <w:p>
      <w:pPr>
        <w:spacing w:after="140" w:line="276"/>
      </w:pPr>
      <w:r>
        <w:rPr>
          <w:i/>
          <w:iCs/>
          <w:color w:val="5B6672"/>
          <w:sz w:val="21"/>
          <w:szCs w:val="21"/>
        </w:rPr>
        <w:t xml:space="preserve">The installer writes an .htaccess into data/ if one is not already there, so the database file cannot be downloaded over the web.</w:t>
      </w:r>
    </w:p>
    <w:p>
      <w:pPr>
        <w:pStyle w:val="Heading1"/>
        <w:spacing w:after="160" w:before="360"/>
      </w:pPr>
      <w:r>
        <w:rPr>
          <w:b/>
          <w:bCs/>
          <w:color w:val="13294B"/>
          <w:sz w:val="30"/>
          <w:szCs w:val="30"/>
        </w:rPr>
        <w:t xml:space="preserve">3. Where the data lives</w:t>
      </w:r>
    </w:p>
    <w:p>
      <w:pPr>
        <w:spacing w:after="140" w:line="276"/>
      </w:pPr>
      <w:r>
        <w:rPr>
          <w:sz w:val="21"/>
          <w:szCs w:val="21"/>
        </w:rPr>
        <w:t xml:space="preserve">Everything is in one SQLite file. By default it is </w:t>
      </w:r>
      <w:r>
        <w:rPr>
          <w:rFonts w:ascii="Consolas" w:cs="Consolas" w:eastAsia="Consolas" w:hAnsi="Consolas"/>
          <w:color w:val="13294B"/>
          <w:sz w:val="19"/>
          <w:szCs w:val="19"/>
        </w:rPr>
        <w:t xml:space="preserve">data/lab.sqlite</w:t>
      </w:r>
      <w:r>
        <w:rPr>
          <w:sz w:val="21"/>
          <w:szCs w:val="21"/>
        </w:rPr>
        <w:t xml:space="preserve">, next to the application.</w:t>
      </w:r>
    </w:p>
    <w:p>
      <w:pPr>
        <w:pStyle w:val="Heading2"/>
        <w:spacing w:after="120" w:before="280"/>
      </w:pPr>
      <w:r>
        <w:rPr>
          <w:b/>
          <w:bCs/>
          <w:color w:val="13294B"/>
          <w:sz w:val="24"/>
          <w:szCs w:val="24"/>
        </w:rPr>
        <w:t xml:space="preserve">Moving the database outside the web root</w:t>
      </w:r>
    </w:p>
    <w:p>
      <w:pPr>
        <w:spacing w:after="140" w:line="276"/>
      </w:pPr>
      <w:r>
        <w:rPr>
          <w:sz w:val="21"/>
          <w:szCs w:val="21"/>
        </w:rPr>
        <w:t xml:space="preserve">This is the safer arrangement, and worth doing on any host that allows it. Create a file called config.php next to index.php containing one 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&lt;?php define('LAB_DB_PATH', '/home/account/private/lab.sqlite');</w:t>
            </w:r>
          </w:p>
        </w:tc>
      </w:tr>
    </w:tbl>
    <w:p>
      <w:pPr>
        <w:spacing w:after="160"/>
      </w:pPr>
    </w:p>
    <w:p>
      <w:pPr>
        <w:spacing w:after="140" w:line="276"/>
      </w:pPr>
      <w:r>
        <w:rPr>
          <w:sz w:val="21"/>
          <w:szCs w:val="21"/>
        </w:rPr>
        <w:t xml:space="preserve">The application reads that constant instead of the default path. Move the existing database file to the new location first, or install fresh with config.php already in place. Nothing else changes.</w:t>
      </w:r>
    </w:p>
    <w:p>
      <w:pPr>
        <w:spacing w:after="140" w:line="276"/>
      </w:pPr>
      <w:r>
        <w:rPr>
          <w:sz w:val="21"/>
          <w:szCs w:val="21"/>
        </w:rPr>
        <w:t xml:space="preserve">If the database has to stay under the web root, leave the </w:t>
      </w:r>
      <w:r>
        <w:rPr>
          <w:rFonts w:ascii="Consolas" w:cs="Consolas" w:eastAsia="Consolas" w:hAnsi="Consolas"/>
          <w:color w:val="13294B"/>
          <w:sz w:val="19"/>
          <w:szCs w:val="19"/>
        </w:rPr>
        <w:t xml:space="preserve">data/.htaccess</w:t>
      </w:r>
      <w:r>
        <w:rPr>
          <w:sz w:val="21"/>
          <w:szCs w:val="21"/>
        </w:rPr>
        <w:t xml:space="preserve"> file in place. It denies web access to the directory on Apache. If the server is not Apache, confirm by hand that </w:t>
      </w:r>
      <w:r>
        <w:rPr>
          <w:rFonts w:ascii="Consolas" w:cs="Consolas" w:eastAsia="Consolas" w:hAnsi="Consolas"/>
          <w:color w:val="13294B"/>
          <w:sz w:val="19"/>
          <w:szCs w:val="19"/>
        </w:rPr>
        <w:t xml:space="preserve">data/lab.sqlite</w:t>
      </w:r>
      <w:r>
        <w:rPr>
          <w:sz w:val="21"/>
          <w:szCs w:val="21"/>
        </w:rPr>
        <w:t xml:space="preserve"> cannot be fetched in a browser — an exposed SQLite file hands over every grant number and charge in the laboratory.</w:t>
      </w:r>
    </w:p>
    <w:p>
      <w:pPr>
        <w:pStyle w:val="Heading1"/>
        <w:spacing w:after="160" w:before="360"/>
      </w:pPr>
      <w:r>
        <w:rPr>
          <w:b/>
          <w:bCs/>
          <w:color w:val="13294B"/>
          <w:sz w:val="30"/>
          <w:szCs w:val="30"/>
        </w:rPr>
        <w:t xml:space="preserve">4. Backing up</w:t>
      </w:r>
    </w:p>
    <w:p>
      <w:pPr>
        <w:spacing w:after="140" w:line="276"/>
      </w:pPr>
      <w:r>
        <w:rPr>
          <w:sz w:val="21"/>
          <w:szCs w:val="21"/>
        </w:rPr>
        <w:t xml:space="preserve">The whole application is one file. Copy it and you have everything: equipment, grants, charges, bookings, export history, administrator accounts, and interface text.</w:t>
      </w:r>
    </w:p>
    <w:p>
      <w:pPr>
        <w:pStyle w:val="Heading2"/>
        <w:spacing w:after="120" w:before="280"/>
      </w:pPr>
      <w:r>
        <w:rPr>
          <w:b/>
          <w:bCs/>
          <w:color w:val="13294B"/>
          <w:sz w:val="24"/>
          <w:szCs w:val="24"/>
        </w:rPr>
        <w:t xml:space="preserve">The safe way to copy it</w:t>
      </w:r>
    </w:p>
    <w:p>
      <w:pPr>
        <w:spacing w:after="140" w:line="276"/>
      </w:pPr>
      <w:r>
        <w:rPr>
          <w:sz w:val="21"/>
          <w:szCs w:val="21"/>
        </w:rPr>
        <w:t xml:space="preserve">SQLite runs in WAL mode here, so a live database is really up to three files. Copying only the .sqlite file while somebody is entering a charge can capture a partial state. Either copy all three, or let SQLite make the copy for you.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If the sqlite3 command line tool is available (preferred):</w:t>
            </w:r>
          </w:p>
          <w:p>
            <w:pPr>
              <w:spacing w:after="0" w:line="240"/>
            </w:pPr>
            <w:r>
              <w:rPr>
                <w:rFonts w:ascii="Consolas" w:cs="Consolas" w:eastAsia="Consolas" w:hAnsi="Consolas"/>
                <w:sz w:val="18"/>
                <w:szCs w:val="18"/>
              </w:rPr>
              <w:t xml:space="preserve">sqlite3 data/lab.sqlite ".backup '/backups/lab-$(date +%F).sqlite'"</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Otherwise copy all three files together:</w:t>
            </w:r>
          </w:p>
          <w:p>
            <w:pPr>
              <w:spacing w:after="0" w:line="240"/>
            </w:pPr>
            <w:r>
              <w:rPr>
                <w:rFonts w:ascii="Consolas" w:cs="Consolas" w:eastAsia="Consolas" w:hAnsi="Consolas"/>
                <w:sz w:val="18"/>
                <w:szCs w:val="18"/>
              </w:rPr>
              <w:t xml:space="preserve">cp data/lab.sqlite data/lab.sqlite-wal data/lab.sqlite-shm /backups/</w:t>
            </w:r>
          </w:p>
        </w:tc>
      </w:tr>
    </w:tbl>
    <w:p>
      <w:pPr>
        <w:spacing w:after="160"/>
      </w:pPr>
    </w:p>
    <w:p>
      <w:pPr>
        <w:spacing w:after="140" w:line="276"/>
      </w:pPr>
      <w:r>
        <w:rPr>
          <w:sz w:val="21"/>
          <w:szCs w:val="21"/>
        </w:rPr>
        <w:t xml:space="preserve">A nightly copy retained for a month is proportionate. The laboratory can also simply download the file over SFTP; the same rule about the three files applies.</w:t>
      </w:r>
    </w:p>
    <w:p>
      <w:pPr>
        <w:pStyle w:val="Heading2"/>
        <w:spacing w:after="120" w:before="280"/>
      </w:pPr>
      <w:r>
        <w:rPr>
          <w:b/>
          <w:bCs/>
          <w:color w:val="13294B"/>
          <w:sz w:val="24"/>
          <w:szCs w:val="24"/>
        </w:rPr>
        <w:t xml:space="preserve">Restoring</w:t>
      </w:r>
    </w:p>
    <w:p>
      <w:pPr>
        <w:spacing w:after="140" w:line="276"/>
      </w:pPr>
      <w:r>
        <w:rPr>
          <w:sz w:val="21"/>
          <w:szCs w:val="21"/>
        </w:rPr>
        <w:t xml:space="preserve">Stop nothing, change nothing else: put the backup file back at the path </w:t>
      </w:r>
      <w:r>
        <w:rPr>
          <w:rFonts w:ascii="Consolas" w:cs="Consolas" w:eastAsia="Consolas" w:hAnsi="Consolas"/>
          <w:color w:val="13294B"/>
          <w:sz w:val="19"/>
          <w:szCs w:val="19"/>
        </w:rPr>
        <w:t xml:space="preserve">LAB_DB_PATH</w:t>
      </w:r>
      <w:r>
        <w:rPr>
          <w:sz w:val="21"/>
          <w:szCs w:val="21"/>
        </w:rPr>
        <w:t xml:space="preserve"> names, delete any stray </w:t>
      </w:r>
      <w:r>
        <w:rPr>
          <w:rFonts w:ascii="Consolas" w:cs="Consolas" w:eastAsia="Consolas" w:hAnsi="Consolas"/>
          <w:color w:val="13294B"/>
          <w:sz w:val="19"/>
          <w:szCs w:val="19"/>
        </w:rPr>
        <w:t xml:space="preserve">-wal</w:t>
      </w:r>
      <w:r>
        <w:rPr>
          <w:sz w:val="21"/>
          <w:szCs w:val="21"/>
        </w:rPr>
        <w:t xml:space="preserve"> and </w:t>
      </w:r>
      <w:r>
        <w:rPr>
          <w:rFonts w:ascii="Consolas" w:cs="Consolas" w:eastAsia="Consolas" w:hAnsi="Consolas"/>
          <w:color w:val="13294B"/>
          <w:sz w:val="19"/>
          <w:szCs w:val="19"/>
        </w:rPr>
        <w:t xml:space="preserve">-shm</w:t>
      </w:r>
      <w:r>
        <w:rPr>
          <w:sz w:val="21"/>
          <w:szCs w:val="21"/>
        </w:rPr>
        <w:t xml:space="preserve"> files beside it, and reload the site.</w:t>
      </w:r>
    </w:p>
    <w:p>
      <w:pPr>
        <w:pStyle w:val="Heading1"/>
        <w:spacing w:after="160" w:before="360"/>
      </w:pPr>
      <w:r>
        <w:rPr>
          <w:b/>
          <w:bCs/>
          <w:color w:val="13294B"/>
          <w:sz w:val="30"/>
          <w:szCs w:val="30"/>
        </w:rPr>
        <w:t xml:space="preserve">5. The NetID swap point</w:t>
      </w:r>
    </w:p>
    <w:p>
      <w:pPr>
        <w:spacing w:after="140" w:line="276"/>
      </w:pPr>
      <w:r>
        <w:rPr>
          <w:sz w:val="21"/>
          <w:szCs w:val="21"/>
        </w:rPr>
        <w:t xml:space="preserve">Laboratory users identify themselves by typing their last name once per session. That is a placeholder. If the web server can be made to pass a campus NetID through to PHP — mod_auth_shib, Basic authentication, anything that populates a server variable — the whole application converts by editing the body of one function.</w:t>
      </w:r>
    </w:p>
    <w:p>
      <w:pPr>
        <w:spacing w:after="140" w:line="276"/>
      </w:pPr>
      <w:r>
        <w:rPr>
          <w:sz w:val="21"/>
          <w:szCs w:val="21"/>
        </w:rPr>
        <w:t xml:space="preserve">The function is </w:t>
      </w:r>
      <w:r>
        <w:rPr>
          <w:rFonts w:ascii="Consolas" w:cs="Consolas" w:eastAsia="Consolas" w:hAnsi="Consolas"/>
          <w:color w:val="13294B"/>
          <w:sz w:val="19"/>
          <w:szCs w:val="19"/>
        </w:rPr>
        <w:t xml:space="preserve">current_user_name()</w:t>
      </w:r>
      <w:r>
        <w:rPr>
          <w:sz w:val="21"/>
          <w:szCs w:val="21"/>
        </w:rPr>
        <w:t xml:space="preserve">, in </w:t>
      </w:r>
      <w:r>
        <w:rPr>
          <w:rFonts w:ascii="Consolas" w:cs="Consolas" w:eastAsia="Consolas" w:hAnsi="Consolas"/>
          <w:color w:val="13294B"/>
          <w:sz w:val="19"/>
          <w:szCs w:val="19"/>
        </w:rPr>
        <w:t xml:space="preserve">includes/auth.php</w:t>
      </w:r>
      <w:r>
        <w:rPr>
          <w:sz w:val="21"/>
          <w:szCs w:val="21"/>
        </w:rPr>
        <w:t xml:space="preserve">. Every screen that needs to know who is at the keyboard calls it and nothing else.</w:t>
      </w:r>
    </w:p>
    <w:p>
      <w:pPr>
        <w:spacing w:after="160"/>
      </w:pPr>
    </w:p>
    <w:p>
      <w:pPr>
        <w:spacing w:after="60" w:line="276"/>
      </w:pPr>
      <w:r>
        <w:rPr>
          <w:sz w:val="21"/>
          <w:szCs w:val="21"/>
        </w:rPr>
        <w:t xml:space="preserve">Replace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function current_user_name(): string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session_boot();</w:t>
            </w:r>
          </w:p>
          <w:p>
            <w:pPr>
              <w:spacing w:after="0" w:line="240"/>
            </w:pPr>
            <w:r>
              <w:rPr>
                <w:rFonts w:ascii="Consolas" w:cs="Consolas" w:eastAsia="Consolas" w:hAnsi="Consolas"/>
                <w:sz w:val="18"/>
                <w:szCs w:val="18"/>
              </w:rPr>
              <w:t xml:space="preserve">    return trim((string) ($_SESSION['user_name'] ?? ''));</w:t>
            </w:r>
          </w:p>
          <w:p>
            <w:pPr>
              <w:spacing w:after="0" w:line="240"/>
            </w:pPr>
            <w:r>
              <w:rPr>
                <w:rFonts w:ascii="Consolas" w:cs="Consolas" w:eastAsia="Consolas" w:hAnsi="Consolas"/>
                <w:sz w:val="18"/>
                <w:szCs w:val="18"/>
              </w:rPr>
              <w:t xml:space="preserve">}</w:t>
            </w:r>
          </w:p>
        </w:tc>
      </w:tr>
    </w:tbl>
    <w:p>
      <w:pPr>
        <w:spacing w:after="160"/>
      </w:pPr>
    </w:p>
    <w:p>
      <w:pPr>
        <w:spacing w:after="60" w:line="276"/>
      </w:pPr>
      <w:r>
        <w:rPr>
          <w:sz w:val="21"/>
          <w:szCs w:val="21"/>
        </w:rPr>
        <w:t xml:space="preserve">With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function current_user_name(): string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return $_SERVER['REMOTE_USER'] ?? '';</w:t>
            </w:r>
          </w:p>
          <w:p>
            <w:pPr>
              <w:spacing w:after="0" w:line="240"/>
            </w:pPr>
            <w:r>
              <w:rPr>
                <w:rFonts w:ascii="Consolas" w:cs="Consolas" w:eastAsia="Consolas" w:hAnsi="Consolas"/>
                <w:sz w:val="18"/>
                <w:szCs w:val="18"/>
              </w:rPr>
              <w:t xml:space="preserve">}</w:t>
            </w:r>
          </w:p>
        </w:tc>
      </w:tr>
    </w:tbl>
    <w:p>
      <w:pPr>
        <w:spacing w:after="160"/>
      </w:pPr>
    </w:p>
    <w:p>
      <w:pPr>
        <w:spacing w:after="140" w:line="276"/>
      </w:pPr>
      <w:r>
        <w:rPr>
          <w:sz w:val="21"/>
          <w:szCs w:val="21"/>
        </w:rPr>
        <w:t xml:space="preserve">Then change </w:t>
      </w:r>
      <w:r>
        <w:rPr>
          <w:rFonts w:ascii="Consolas" w:cs="Consolas" w:eastAsia="Consolas" w:hAnsi="Consolas"/>
          <w:color w:val="13294B"/>
          <w:sz w:val="19"/>
          <w:szCs w:val="19"/>
        </w:rPr>
        <w:t xml:space="preserve">identity_is_self_declared()</w:t>
      </w:r>
      <w:r>
        <w:rPr>
          <w:sz w:val="21"/>
          <w:szCs w:val="21"/>
        </w:rPr>
        <w:t xml:space="preserve">, immediately below it, to return </w:t>
      </w:r>
      <w:r>
        <w:rPr>
          <w:rFonts w:ascii="Consolas" w:cs="Consolas" w:eastAsia="Consolas" w:hAnsi="Consolas"/>
          <w:color w:val="13294B"/>
          <w:sz w:val="19"/>
          <w:szCs w:val="19"/>
        </w:rPr>
        <w:t xml:space="preserve">false</w:t>
      </w:r>
      <w:r>
        <w:rPr>
          <w:sz w:val="21"/>
          <w:szCs w:val="21"/>
        </w:rPr>
        <w:t xml:space="preserve">. That removes the "your last name" prompt and the "not you?" link from the header. Nothing else in the application changes: no query, no form, no template.</w:t>
      </w:r>
    </w:p>
    <w:p>
      <w:pPr>
        <w:spacing w:after="140" w:line="276"/>
      </w:pPr>
      <w:r>
        <w:rPr>
          <w:sz w:val="21"/>
          <w:szCs w:val="21"/>
        </w:rPr>
        <w:t xml:space="preserve">Administrator sign-in is separate and stays as it is. Those accounts guard the administrative panel and the monthly export; they are not campus identities.</w:t>
      </w:r>
    </w:p>
    <w:p>
      <w:pPr>
        <w:pStyle w:val="Heading1"/>
        <w:spacing w:after="160" w:before="360"/>
      </w:pPr>
      <w:r>
        <w:rPr>
          <w:b/>
          <w:bCs/>
          <w:color w:val="13294B"/>
          <w:sz w:val="30"/>
          <w:szCs w:val="30"/>
        </w:rPr>
        <w:t xml:space="preserve">6. Changing how it looks</w:t>
      </w:r>
    </w:p>
    <w:p>
      <w:pPr>
        <w:spacing w:after="140" w:line="276"/>
      </w:pPr>
      <w:r>
        <w:rPr>
          <w:sz w:val="21"/>
          <w:szCs w:val="21"/>
        </w:rPr>
        <w:t xml:space="preserve">Every colour, size, and spacing decision is in </w:t>
      </w:r>
      <w:r>
        <w:rPr>
          <w:rFonts w:ascii="Consolas" w:cs="Consolas" w:eastAsia="Consolas" w:hAnsi="Consolas"/>
          <w:color w:val="13294B"/>
          <w:sz w:val="19"/>
          <w:szCs w:val="19"/>
        </w:rPr>
        <w:t xml:space="preserve">assets/style.css</w:t>
      </w:r>
      <w:r>
        <w:rPr>
          <w:sz w:val="21"/>
          <w:szCs w:val="21"/>
        </w:rPr>
        <w:t xml:space="preserve">, and the variables at the top of that file drive the rest. A full visual redesign never touches application logic. No PHP file contains a style attribute; the only place a style is written from code is the calendar, where JavaScript positions a booking block on the grid.</w:t>
      </w:r>
    </w:p>
    <w:p>
      <w:pPr>
        <w:spacing w:after="140" w:line="276"/>
      </w:pPr>
      <w:r>
        <w:rPr>
          <w:sz w:val="21"/>
          <w:szCs w:val="21"/>
        </w:rPr>
        <w:t xml:space="preserve">Wording is different from styling, and wording is not in the files at all. The laboratory name, the page headings, and the instruction sentence on each screen live in the database and are edited under Administration → Interface text. Nobody needs the web person to reword a screen.</w:t>
      </w:r>
    </w:p>
    <w:p>
      <w:pPr>
        <w:pStyle w:val="Heading1"/>
        <w:spacing w:after="160" w:before="360"/>
      </w:pPr>
      <w:r>
        <w:rPr>
          <w:b/>
          <w:bCs/>
          <w:color w:val="13294B"/>
          <w:sz w:val="30"/>
          <w:szCs w:val="30"/>
        </w:rPr>
        <w:t xml:space="preserve">7. What the administrative panel deliberately does not do</w:t>
      </w:r>
    </w:p>
    <w:p>
      <w:pPr>
        <w:spacing w:after="140" w:line="276"/>
      </w:pPr>
      <w:r>
        <w:rPr>
          <w:sz w:val="21"/>
          <w:szCs w:val="21"/>
        </w:rPr>
        <w:t xml:space="preserve">It does not edit source files. A browser form that writes PHP, JavaScript, or HTML into a campus web directory is a remote code execution path: one leaked password or one cross-site scripting flaw would let an attacker run arbitrary code on a university server, and campus security offices treat such an interface as a finding.</w:t>
      </w:r>
    </w:p>
    <w:p>
      <w:pPr>
        <w:spacing w:after="140" w:line="276"/>
      </w:pPr>
      <w:r>
        <w:rPr>
          <w:sz w:val="21"/>
          <w:szCs w:val="21"/>
        </w:rPr>
        <w:t xml:space="preserve">Everything the laboratory changes regularly lives in the database instead, and the panel covers all of it: rates, equipment, grants, unit lists, labels, and page text. Code changes go through the web person editing files in the directory, which already falls inside that role.</w:t>
      </w:r>
    </w:p>
    <w:p>
      <w:pPr>
        <w:pStyle w:val="Heading1"/>
        <w:spacing w:after="160" w:before="360"/>
      </w:pPr>
      <w:r>
        <w:rPr>
          <w:b/>
          <w:bCs/>
          <w:color w:val="13294B"/>
          <w:sz w:val="30"/>
          <w:szCs w:val="30"/>
        </w:rPr>
        <w:t xml:space="preserve">8. File layout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CF3" w:val="clear"/>
            <w:tcMar>
              <w:top w:type="dxa" w:w="80"/>
              <w:left w:type="dxa" w:w="120"/>
              <w:bottom w:type="dxa" w:w="80"/>
              <w:right w:type="dxa" w:w="120"/>
            </w:tcMar>
          </w:tcPr>
          <w:p>
            <w:pPr>
              <w:spacing w:after="0" w:line="240"/>
            </w:pPr>
            <w:r>
              <w:rPr>
                <w:b/>
                <w:bCs/>
                <w:sz w:val="19"/>
                <w:szCs w:val="19"/>
              </w:rPr>
              <w:t xml:space="preserve">File</w:t>
            </w:r>
          </w:p>
        </w:tc>
        <w:tc>
          <w:tcPr>
            <w:tcW w:type="dxa" w:w="6760"/>
            <w:shd w:fill="E8ECF3" w:val="clear"/>
            <w:tcMar>
              <w:top w:type="dxa" w:w="80"/>
              <w:left w:type="dxa" w:w="120"/>
              <w:bottom w:type="dxa" w:w="80"/>
              <w:right w:type="dxa" w:w="120"/>
            </w:tcMar>
          </w:tcPr>
          <w:p>
            <w:pPr>
              <w:spacing w:after="0" w:line="240"/>
            </w:pPr>
            <w:r>
              <w:rPr>
                <w:b/>
                <w:bCs/>
                <w:sz w:val="19"/>
                <w:szCs w:val="19"/>
              </w:rPr>
              <w:t xml:space="preserve">What it is</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index.php</w:t>
            </w:r>
          </w:p>
        </w:tc>
        <w:tc>
          <w:tcPr>
            <w:tcW w:type="dxa" w:w="6760"/>
            <w:tcMar>
              <w:top w:type="dxa" w:w="80"/>
              <w:left w:type="dxa" w:w="120"/>
              <w:bottom w:type="dxa" w:w="80"/>
              <w:right w:type="dxa" w:w="120"/>
            </w:tcMar>
          </w:tcPr>
          <w:p>
            <w:pPr>
              <w:spacing w:after="0" w:line="240"/>
            </w:pPr>
            <w:r>
              <w:rPr>
                <w:b w:val="false"/>
                <w:bCs w:val="false"/>
                <w:sz w:val="19"/>
                <w:szCs w:val="19"/>
              </w:rPr>
              <w:t xml:space="preserve">Use entry. The screen that carries the daily traffic.</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schedule.php</w:t>
            </w:r>
          </w:p>
        </w:tc>
        <w:tc>
          <w:tcPr>
            <w:tcW w:type="dxa" w:w="6760"/>
            <w:tcMar>
              <w:top w:type="dxa" w:w="80"/>
              <w:left w:type="dxa" w:w="120"/>
              <w:bottom w:type="dxa" w:w="80"/>
              <w:right w:type="dxa" w:w="120"/>
            </w:tcMar>
          </w:tcPr>
          <w:p>
            <w:pPr>
              <w:spacing w:after="0" w:line="240"/>
            </w:pPr>
            <w:r>
              <w:rPr>
                <w:b w:val="false"/>
                <w:bCs w:val="false"/>
                <w:sz w:val="19"/>
                <w:szCs w:val="19"/>
              </w:rPr>
              <w:t xml:space="preserve">The instrument calendar.</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report.php</w:t>
            </w:r>
          </w:p>
        </w:tc>
        <w:tc>
          <w:tcPr>
            <w:tcW w:type="dxa" w:w="6760"/>
            <w:tcMar>
              <w:top w:type="dxa" w:w="80"/>
              <w:left w:type="dxa" w:w="120"/>
              <w:bottom w:type="dxa" w:w="80"/>
              <w:right w:type="dxa" w:w="120"/>
            </w:tcMar>
          </w:tcPr>
          <w:p>
            <w:pPr>
              <w:spacing w:after="0" w:line="240"/>
            </w:pPr>
            <w:r>
              <w:rPr>
                <w:b w:val="false"/>
                <w:bCs w:val="false"/>
                <w:sz w:val="19"/>
                <w:szCs w:val="19"/>
              </w:rPr>
              <w:t xml:space="preserve">Monthly billing report, CSV export, and closing a period.</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api.php</w:t>
            </w:r>
          </w:p>
        </w:tc>
        <w:tc>
          <w:tcPr>
            <w:tcW w:type="dxa" w:w="6760"/>
            <w:tcMar>
              <w:top w:type="dxa" w:w="80"/>
              <w:left w:type="dxa" w:w="120"/>
              <w:bottom w:type="dxa" w:w="80"/>
              <w:right w:type="dxa" w:w="120"/>
            </w:tcMar>
          </w:tcPr>
          <w:p>
            <w:pPr>
              <w:spacing w:after="0" w:line="240"/>
            </w:pPr>
            <w:r>
              <w:rPr>
                <w:b w:val="false"/>
                <w:bCs w:val="false"/>
                <w:sz w:val="19"/>
                <w:szCs w:val="19"/>
              </w:rPr>
              <w:t xml:space="preserve">The JSON endpoint the calendar reads and writes through.</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check.php</w:t>
            </w:r>
          </w:p>
        </w:tc>
        <w:tc>
          <w:tcPr>
            <w:tcW w:type="dxa" w:w="6760"/>
            <w:tcMar>
              <w:top w:type="dxa" w:w="80"/>
              <w:left w:type="dxa" w:w="120"/>
              <w:bottom w:type="dxa" w:w="80"/>
              <w:right w:type="dxa" w:w="120"/>
            </w:tcMar>
          </w:tcPr>
          <w:p>
            <w:pPr>
              <w:spacing w:after="0" w:line="240"/>
            </w:pPr>
            <w:r>
              <w:rPr>
                <w:b w:val="false"/>
                <w:bCs w:val="false"/>
                <w:sz w:val="19"/>
                <w:szCs w:val="19"/>
              </w:rPr>
              <w:t xml:space="preserve">Server capability test. Delete after installing.</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install.php</w:t>
            </w:r>
          </w:p>
        </w:tc>
        <w:tc>
          <w:tcPr>
            <w:tcW w:type="dxa" w:w="6760"/>
            <w:tcMar>
              <w:top w:type="dxa" w:w="80"/>
              <w:left w:type="dxa" w:w="120"/>
              <w:bottom w:type="dxa" w:w="80"/>
              <w:right w:type="dxa" w:w="120"/>
            </w:tcMar>
          </w:tcPr>
          <w:p>
            <w:pPr>
              <w:spacing w:after="0" w:line="240"/>
            </w:pPr>
            <w:r>
              <w:rPr>
                <w:b w:val="false"/>
                <w:bCs w:val="false"/>
                <w:sz w:val="19"/>
                <w:szCs w:val="19"/>
              </w:rPr>
              <w:t xml:space="preserve">Creates the schema and the first administrator. Locks itself; delete after installing.</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config.php</w:t>
            </w:r>
          </w:p>
        </w:tc>
        <w:tc>
          <w:tcPr>
            <w:tcW w:type="dxa" w:w="6760"/>
            <w:tcMar>
              <w:top w:type="dxa" w:w="80"/>
              <w:left w:type="dxa" w:w="120"/>
              <w:bottom w:type="dxa" w:w="80"/>
              <w:right w:type="dxa" w:w="120"/>
            </w:tcMar>
          </w:tcPr>
          <w:p>
            <w:pPr>
              <w:spacing w:after="0" w:line="240"/>
            </w:pPr>
            <w:r>
              <w:rPr>
                <w:b w:val="false"/>
                <w:bCs w:val="false"/>
                <w:sz w:val="19"/>
                <w:szCs w:val="19"/>
              </w:rPr>
              <w:t xml:space="preserve">Optional. Only needed to move the database outside the web root.</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admin/</w:t>
            </w:r>
          </w:p>
        </w:tc>
        <w:tc>
          <w:tcPr>
            <w:tcW w:type="dxa" w:w="6760"/>
            <w:tcMar>
              <w:top w:type="dxa" w:w="80"/>
              <w:left w:type="dxa" w:w="120"/>
              <w:bottom w:type="dxa" w:w="80"/>
              <w:right w:type="dxa" w:w="120"/>
            </w:tcMar>
          </w:tcPr>
          <w:p>
            <w:pPr>
              <w:spacing w:after="0" w:line="240"/>
            </w:pPr>
            <w:r>
              <w:rPr>
                <w:b w:val="false"/>
                <w:bCs w:val="false"/>
                <w:sz w:val="19"/>
                <w:szCs w:val="19"/>
              </w:rPr>
              <w:t xml:space="preserve">One page per administrative function, plus sign-in.</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includes/db.php</w:t>
            </w:r>
          </w:p>
        </w:tc>
        <w:tc>
          <w:tcPr>
            <w:tcW w:type="dxa" w:w="6760"/>
            <w:tcMar>
              <w:top w:type="dxa" w:w="80"/>
              <w:left w:type="dxa" w:w="120"/>
              <w:bottom w:type="dxa" w:w="80"/>
              <w:right w:type="dxa" w:w="120"/>
            </w:tcMar>
          </w:tcPr>
          <w:p>
            <w:pPr>
              <w:spacing w:after="0" w:line="240"/>
            </w:pPr>
            <w:r>
              <w:rPr>
                <w:b w:val="false"/>
                <w:bCs w:val="false"/>
                <w:sz w:val="19"/>
                <w:szCs w:val="19"/>
              </w:rPr>
              <w:t xml:space="preserve">The PDO handle and small query helpers.</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includes/auth.php</w:t>
            </w:r>
          </w:p>
        </w:tc>
        <w:tc>
          <w:tcPr>
            <w:tcW w:type="dxa" w:w="6760"/>
            <w:tcMar>
              <w:top w:type="dxa" w:w="80"/>
              <w:left w:type="dxa" w:w="120"/>
              <w:bottom w:type="dxa" w:w="80"/>
              <w:right w:type="dxa" w:w="120"/>
            </w:tcMar>
          </w:tcPr>
          <w:p>
            <w:pPr>
              <w:spacing w:after="0" w:line="240"/>
            </w:pPr>
            <w:r>
              <w:rPr>
                <w:b w:val="false"/>
                <w:bCs w:val="false"/>
                <w:sz w:val="19"/>
                <w:szCs w:val="19"/>
              </w:rPr>
              <w:t xml:space="preserve">Identity and administrator sign-in. The NetID swap point.</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includes/functions.php</w:t>
            </w:r>
          </w:p>
        </w:tc>
        <w:tc>
          <w:tcPr>
            <w:tcW w:type="dxa" w:w="6760"/>
            <w:tcMar>
              <w:top w:type="dxa" w:w="80"/>
              <w:left w:type="dxa" w:w="120"/>
              <w:bottom w:type="dxa" w:w="80"/>
              <w:right w:type="dxa" w:w="120"/>
            </w:tcMar>
          </w:tcPr>
          <w:p>
            <w:pPr>
              <w:spacing w:after="0" w:line="240"/>
            </w:pPr>
            <w:r>
              <w:rPr>
                <w:b w:val="false"/>
                <w:bCs w:val="false"/>
                <w:sz w:val="19"/>
                <w:szCs w:val="19"/>
              </w:rPr>
              <w:t xml:space="preserve">Shared helpers, page chrome, and shared business rules.</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assets/style.css</w:t>
            </w:r>
          </w:p>
        </w:tc>
        <w:tc>
          <w:tcPr>
            <w:tcW w:type="dxa" w:w="6760"/>
            <w:tcMar>
              <w:top w:type="dxa" w:w="80"/>
              <w:left w:type="dxa" w:w="120"/>
              <w:bottom w:type="dxa" w:w="80"/>
              <w:right w:type="dxa" w:w="120"/>
            </w:tcMar>
          </w:tcPr>
          <w:p>
            <w:pPr>
              <w:spacing w:after="0" w:line="240"/>
            </w:pPr>
            <w:r>
              <w:rPr>
                <w:b w:val="false"/>
                <w:bCs w:val="false"/>
                <w:sz w:val="19"/>
                <w:szCs w:val="19"/>
              </w:rPr>
              <w:t xml:space="preserve">The entire appearance of the application.</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assets/app.js</w:t>
            </w:r>
          </w:p>
        </w:tc>
        <w:tc>
          <w:tcPr>
            <w:tcW w:type="dxa" w:w="6760"/>
            <w:tcMar>
              <w:top w:type="dxa" w:w="80"/>
              <w:left w:type="dxa" w:w="120"/>
              <w:bottom w:type="dxa" w:w="80"/>
              <w:right w:type="dxa" w:w="120"/>
            </w:tcMar>
          </w:tcPr>
          <w:p>
            <w:pPr>
              <w:spacing w:after="0" w:line="240"/>
            </w:pPr>
            <w:r>
              <w:rPr>
                <w:b w:val="false"/>
                <w:bCs w:val="false"/>
                <w:sz w:val="19"/>
                <w:szCs w:val="19"/>
              </w:rPr>
              <w:t xml:space="preserve">The use entry form: live total, rate fields, grant filtering.</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assets/calendar.js</w:t>
            </w:r>
          </w:p>
        </w:tc>
        <w:tc>
          <w:tcPr>
            <w:tcW w:type="dxa" w:w="6760"/>
            <w:tcMar>
              <w:top w:type="dxa" w:w="80"/>
              <w:left w:type="dxa" w:w="120"/>
              <w:bottom w:type="dxa" w:w="80"/>
              <w:right w:type="dxa" w:w="120"/>
            </w:tcMar>
          </w:tcPr>
          <w:p>
            <w:pPr>
              <w:spacing w:after="0" w:line="240"/>
            </w:pPr>
            <w:r>
              <w:rPr>
                <w:b w:val="false"/>
                <w:bCs w:val="false"/>
                <w:sz w:val="19"/>
                <w:szCs w:val="19"/>
              </w:rPr>
              <w:t xml:space="preserve">The calendar: drawing, dragging, copy, repeat.</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data/lab.sqlite</w:t>
            </w:r>
          </w:p>
        </w:tc>
        <w:tc>
          <w:tcPr>
            <w:tcW w:type="dxa" w:w="6760"/>
            <w:tcMar>
              <w:top w:type="dxa" w:w="80"/>
              <w:left w:type="dxa" w:w="120"/>
              <w:bottom w:type="dxa" w:w="80"/>
              <w:right w:type="dxa" w:w="120"/>
            </w:tcMar>
          </w:tcPr>
          <w:p>
            <w:pPr>
              <w:spacing w:after="0" w:line="240"/>
            </w:pPr>
            <w:r>
              <w:rPr>
                <w:b w:val="false"/>
                <w:bCs w:val="false"/>
                <w:sz w:val="19"/>
                <w:szCs w:val="19"/>
              </w:rPr>
              <w:t xml:space="preserve">The database. Back this up.</w:t>
            </w:r>
          </w:p>
        </w:tc>
      </w:tr>
      <w:tr>
        <w:tc>
          <w:tcPr>
            <w:tcW w:type="dxa" w:w="26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data/.htaccess</w:t>
            </w:r>
          </w:p>
        </w:tc>
        <w:tc>
          <w:tcPr>
            <w:tcW w:type="dxa" w:w="6760"/>
            <w:tcMar>
              <w:top w:type="dxa" w:w="80"/>
              <w:left w:type="dxa" w:w="120"/>
              <w:bottom w:type="dxa" w:w="80"/>
              <w:right w:type="dxa" w:w="120"/>
            </w:tcMar>
          </w:tcPr>
          <w:p>
            <w:pPr>
              <w:spacing w:after="0" w:line="240"/>
            </w:pPr>
            <w:r>
              <w:rPr>
                <w:b w:val="false"/>
                <w:bCs w:val="false"/>
                <w:sz w:val="19"/>
                <w:szCs w:val="19"/>
              </w:rPr>
              <w:t xml:space="preserve">Denies web access to the database directory.</w:t>
            </w:r>
          </w:p>
        </w:tc>
      </w:tr>
    </w:tbl>
    <w:p>
      <w:pPr>
        <w:pStyle w:val="Heading1"/>
        <w:spacing w:after="160" w:before="360"/>
      </w:pPr>
      <w:r>
        <w:rPr>
          <w:b/>
          <w:bCs/>
          <w:color w:val="13294B"/>
          <w:sz w:val="30"/>
          <w:szCs w:val="30"/>
        </w:rPr>
        <w:t xml:space="preserve">9. How this lines up with the other PRI systems</w:t>
      </w:r>
    </w:p>
    <w:p>
      <w:pPr>
        <w:spacing w:after="140" w:line="276"/>
      </w:pPr>
      <w:r>
        <w:rPr>
          <w:sz w:val="21"/>
          <w:szCs w:val="21"/>
        </w:rPr>
        <w:t xml:space="preserve">Two PRI systems already hold the data this one has to agree with, and the conventions below were taken from them rather than invented here.</w:t>
      </w:r>
    </w:p>
    <w:p>
      <w:pPr>
        <w:pStyle w:val="Heading2"/>
        <w:spacing w:after="120" w:before="280"/>
      </w:pPr>
      <w:r>
        <w:rPr>
          <w:b/>
          <w:bCs/>
          <w:color w:val="13294B"/>
          <w:sz w:val="24"/>
          <w:szCs w:val="24"/>
        </w:rPr>
        <w:t xml:space="preserve">Equipment: the university inventory number</w:t>
      </w:r>
    </w:p>
    <w:p>
      <w:pPr>
        <w:spacing w:after="140" w:line="276"/>
      </w:pPr>
      <w:r>
        <w:rPr>
          <w:sz w:val="21"/>
          <w:szCs w:val="21"/>
        </w:rPr>
        <w:t xml:space="preserve">PRI Facilities keys a tagged item on its </w:t>
      </w:r>
      <w:r>
        <w:rPr>
          <w:rFonts w:ascii="Consolas" w:cs="Consolas" w:eastAsia="Consolas" w:hAnsi="Consolas"/>
          <w:color w:val="13294B"/>
          <w:sz w:val="19"/>
          <w:szCs w:val="19"/>
        </w:rPr>
        <w:t xml:space="preserve">PropertyTag</w:t>
      </w:r>
      <w:r>
        <w:rPr>
          <w:sz w:val="21"/>
          <w:szCs w:val="21"/>
        </w:rPr>
        <w:t xml:space="preserve"> — the university inventory number, in the form </w:t>
      </w:r>
      <w:r>
        <w:rPr>
          <w:rFonts w:ascii="Consolas" w:cs="Consolas" w:eastAsia="Consolas" w:hAnsi="Consolas"/>
          <w:color w:val="13294B"/>
          <w:sz w:val="19"/>
          <w:szCs w:val="19"/>
        </w:rPr>
        <w:t xml:space="preserve">P10E35946</w:t>
      </w:r>
      <w:r>
        <w:rPr>
          <w:sz w:val="21"/>
          <w:szCs w:val="21"/>
        </w:rPr>
        <w:t xml:space="preserve"> — and treats it as a cross-system natural key. This application stores the same value, in </w:t>
      </w:r>
      <w:r>
        <w:rPr>
          <w:rFonts w:ascii="Consolas" w:cs="Consolas" w:eastAsia="Consolas" w:hAnsi="Consolas"/>
          <w:color w:val="13294B"/>
          <w:sz w:val="19"/>
          <w:szCs w:val="19"/>
        </w:rPr>
        <w:t xml:space="preserve">equipment.property_tag</w:t>
      </w:r>
      <w:r>
        <w:rPr>
          <w:sz w:val="21"/>
          <w:szCs w:val="21"/>
        </w:rPr>
        <w:t xml:space="preserve">, upper-cased and unique. That is deliberately the only thing the two systems need to agree on: neither owns the other, and an instrument can be looked up in Facilities by the tag shown here.</w:t>
      </w:r>
    </w:p>
    <w:p>
      <w:pPr>
        <w:spacing w:after="140" w:line="276"/>
      </w:pPr>
      <w:r>
        <w:rPr>
          <w:sz w:val="21"/>
          <w:szCs w:val="21"/>
        </w:rPr>
        <w:t xml:space="preserve">No pattern is enforced on a tag. Facilities does not enforce one either, because a laboratory with an odd legacy tag still has to be able to record it. Uniqueness is what is checked.</w:t>
      </w:r>
    </w:p>
    <w:p>
      <w:pPr>
        <w:spacing w:after="140" w:line="276"/>
      </w:pPr>
      <w:r>
        <w:rPr>
          <w:sz w:val="21"/>
          <w:szCs w:val="21"/>
        </w:rPr>
        <w:t xml:space="preserve">Facilities has no rate, recharge, or billing concept at all — money on an item there is purchase value only. So everything in this application to do with charging is new, and contradicts nothing.</w:t>
      </w:r>
    </w:p>
    <w:p>
      <w:pPr>
        <w:pStyle w:val="Heading2"/>
        <w:spacing w:after="120" w:before="280"/>
      </w:pPr>
      <w:r>
        <w:rPr>
          <w:b/>
          <w:bCs/>
          <w:color w:val="13294B"/>
          <w:sz w:val="24"/>
          <w:szCs w:val="24"/>
        </w:rPr>
        <w:t xml:space="preserve">Accounts: CFOPA, not CFOP</w:t>
      </w:r>
    </w:p>
    <w:p>
      <w:pPr>
        <w:spacing w:after="140" w:line="276"/>
      </w:pPr>
      <w:r>
        <w:rPr>
          <w:sz w:val="21"/>
          <w:szCs w:val="21"/>
        </w:rPr>
        <w:t xml:space="preserve">The account string the business office issues has five segments, not four. It is a CFOPA: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5F7"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1-303631-375002-375150-A51</w:t>
            </w:r>
          </w:p>
          <w:p>
            <w:pPr>
              <w:spacing w:after="0" w:line="240"/>
            </w:pPr>
            <w:r>
              <w:rPr>
                <w:rFonts w:ascii="Consolas" w:cs="Consolas" w:eastAsia="Consolas" w:hAnsi="Consolas"/>
                <w:sz w:val="18"/>
                <w:szCs w:val="18"/>
              </w:rPr>
              <w:t xml:space="preserve">│ │      │      │      └── Activity      one of A, B, C then two digits</w:t>
            </w:r>
          </w:p>
          <w:p>
            <w:pPr>
              <w:spacing w:after="0" w:line="240"/>
            </w:pPr>
            <w:r>
              <w:rPr>
                <w:rFonts w:ascii="Consolas" w:cs="Consolas" w:eastAsia="Consolas" w:hAnsi="Consolas"/>
                <w:sz w:val="18"/>
                <w:szCs w:val="18"/>
              </w:rPr>
              <w:t xml:space="preserve">│ │      │      └───────── Program       six digits</w:t>
            </w:r>
          </w:p>
          <w:p>
            <w:pPr>
              <w:spacing w:after="0" w:line="240"/>
            </w:pPr>
            <w:r>
              <w:rPr>
                <w:rFonts w:ascii="Consolas" w:cs="Consolas" w:eastAsia="Consolas" w:hAnsi="Consolas"/>
                <w:sz w:val="18"/>
                <w:szCs w:val="18"/>
              </w:rPr>
              <w:t xml:space="preserve">│ │      └──────────────── Organization  six digits   (INHS is 375002)</w:t>
            </w:r>
          </w:p>
          <w:p>
            <w:pPr>
              <w:spacing w:after="0" w:line="240"/>
            </w:pPr>
            <w:r>
              <w:rPr>
                <w:rFonts w:ascii="Consolas" w:cs="Consolas" w:eastAsia="Consolas" w:hAnsi="Consolas"/>
                <w:sz w:val="18"/>
                <w:szCs w:val="18"/>
              </w:rPr>
              <w:t xml:space="preserve">│ └─────────────────────── Fund          six digits</w:t>
            </w:r>
          </w:p>
          <w:p>
            <w:pPr>
              <w:spacing w:after="0" w:line="240"/>
            </w:pPr>
            <w:r>
              <w:rPr>
                <w:rFonts w:ascii="Consolas" w:cs="Consolas" w:eastAsia="Consolas" w:hAnsi="Consolas"/>
                <w:sz w:val="18"/>
                <w:szCs w:val="18"/>
              </w:rPr>
              <w:t xml:space="preserve">└───────────────────────── Chart         one digit, 1 for Urbana</w:t>
            </w:r>
          </w:p>
        </w:tc>
      </w:tr>
    </w:tbl>
    <w:p>
      <w:pPr>
        <w:spacing w:after="160"/>
      </w:pPr>
    </w:p>
    <w:p>
      <w:pPr>
        <w:spacing w:after="140" w:line="276"/>
      </w:pPr>
      <w:r>
        <w:rPr>
          <w:sz w:val="21"/>
          <w:szCs w:val="21"/>
        </w:rPr>
        <w:t xml:space="preserve">Every one of the 174 accounts in the PRI Suite has exactly this shape. The application stores the whole string in </w:t>
      </w:r>
      <w:r>
        <w:rPr>
          <w:rFonts w:ascii="Consolas" w:cs="Consolas" w:eastAsia="Consolas" w:hAnsi="Consolas"/>
          <w:color w:val="13294B"/>
          <w:sz w:val="19"/>
          <w:szCs w:val="19"/>
        </w:rPr>
        <w:t xml:space="preserve">grants.cfopa</w:t>
      </w:r>
      <w:r>
        <w:rPr>
          <w:sz w:val="21"/>
          <w:szCs w:val="21"/>
        </w:rPr>
        <w:t xml:space="preserve"> and derives two more columns from it on save: </w:t>
      </w:r>
      <w:r>
        <w:rPr>
          <w:rFonts w:ascii="Consolas" w:cs="Consolas" w:eastAsia="Consolas" w:hAnsi="Consolas"/>
          <w:color w:val="13294B"/>
          <w:sz w:val="19"/>
          <w:szCs w:val="19"/>
        </w:rPr>
        <w:t xml:space="preserve">cfopa_base</w:t>
      </w:r>
      <w:r>
        <w:rPr>
          <w:sz w:val="21"/>
          <w:szCs w:val="21"/>
        </w:rPr>
        <w:t xml:space="preserve"> (the four-segment parent) and </w:t>
      </w:r>
      <w:r>
        <w:rPr>
          <w:rFonts w:ascii="Consolas" w:cs="Consolas" w:eastAsia="Consolas" w:hAnsi="Consolas"/>
          <w:color w:val="13294B"/>
          <w:sz w:val="19"/>
          <w:szCs w:val="19"/>
        </w:rPr>
        <w:t xml:space="preserve">activity_code</w:t>
      </w:r>
      <w:r>
        <w:rPr>
          <w:sz w:val="21"/>
          <w:szCs w:val="21"/>
        </w:rPr>
        <w:t xml:space="preserve">. A code typed without an activity segment becomes </w:t>
      </w:r>
      <w:r>
        <w:rPr>
          <w:rFonts w:ascii="Consolas" w:cs="Consolas" w:eastAsia="Consolas" w:hAnsi="Consolas"/>
          <w:color w:val="13294B"/>
          <w:sz w:val="19"/>
          <w:szCs w:val="19"/>
        </w:rPr>
        <w:t xml:space="preserve">A00</w:t>
      </w:r>
      <w:r>
        <w:rPr>
          <w:sz w:val="21"/>
          <w:szCs w:val="21"/>
        </w:rPr>
        <w:t xml:space="preserve">, the parent account, which is the same rule the PRI Suite applies on import.</w:t>
      </w:r>
    </w:p>
    <w:p>
      <w:pPr>
        <w:spacing w:after="140" w:line="276"/>
      </w:pPr>
      <w:r>
        <w:rPr>
          <w:sz w:val="21"/>
          <w:szCs w:val="21"/>
        </w:rPr>
        <w:t xml:space="preserve">A code that does not match the usual shape is saved anyway, with a note on screen. The business office is the authority on what is valid, not this form, and refusing an odd account would only mean the charge goes unrecorded.</w:t>
      </w:r>
    </w:p>
    <w:p>
      <w:pPr>
        <w:pStyle w:val="Heading2"/>
        <w:spacing w:after="120" w:before="280"/>
      </w:pPr>
      <w:r>
        <w:rPr>
          <w:b/>
          <w:bCs/>
          <w:color w:val="13294B"/>
          <w:sz w:val="24"/>
          <w:szCs w:val="24"/>
        </w:rPr>
        <w:t xml:space="preserve">The receiving account is a CFOPA too</w:t>
      </w:r>
    </w:p>
    <w:p>
      <w:pPr>
        <w:spacing w:after="140" w:line="276"/>
      </w:pPr>
      <w:r>
        <w:rPr>
          <w:sz w:val="21"/>
          <w:szCs w:val="21"/>
        </w:rPr>
        <w:t xml:space="preserve">The account the money lands in is not a separate kind of thing. PRI already bills its field stations as one self-supporting fund with one activity segment per facility — </w:t>
      </w:r>
      <w:r>
        <w:rPr>
          <w:rFonts w:ascii="Consolas" w:cs="Consolas" w:eastAsia="Consolas" w:hAnsi="Consolas"/>
          <w:color w:val="13294B"/>
          <w:sz w:val="19"/>
          <w:szCs w:val="19"/>
        </w:rPr>
        <w:t xml:space="preserve">...-375150-A51</w:t>
      </w:r>
      <w:r>
        <w:rPr>
          <w:sz w:val="21"/>
          <w:szCs w:val="21"/>
        </w:rPr>
        <w:t xml:space="preserve"> is the Carlyle Lake facility, </w:t>
      </w:r>
      <w:r>
        <w:rPr>
          <w:rFonts w:ascii="Consolas" w:cs="Consolas" w:eastAsia="Consolas" w:hAnsi="Consolas"/>
          <w:color w:val="13294B"/>
          <w:sz w:val="19"/>
          <w:szCs w:val="19"/>
        </w:rPr>
        <w:t xml:space="preserve">A52</w:t>
      </w:r>
      <w:r>
        <w:rPr>
          <w:sz w:val="21"/>
          <w:szCs w:val="21"/>
        </w:rPr>
        <w:t xml:space="preserve"> the mobile units. Give each instrument its own activity segment on a shared fund and the monthly file drops straight into that pattern.</w:t>
      </w:r>
    </w:p>
    <w:p>
      <w:pPr>
        <w:spacing w:after="140" w:line="276"/>
      </w:pPr>
      <w:r>
        <w:rPr>
          <w:sz w:val="21"/>
          <w:szCs w:val="21"/>
        </w:rPr>
        <w:t xml:space="preserve">For reference, the Banner revenue account that covers this kind of work is </w:t>
      </w:r>
      <w:r>
        <w:rPr>
          <w:rFonts w:ascii="Consolas" w:cs="Consolas" w:eastAsia="Consolas" w:hAnsi="Consolas"/>
          <w:color w:val="13294B"/>
          <w:sz w:val="19"/>
          <w:szCs w:val="19"/>
        </w:rPr>
        <w:t xml:space="preserve">307851</w:t>
      </w:r>
      <w:r>
        <w:rPr>
          <w:sz w:val="21"/>
          <w:szCs w:val="21"/>
        </w:rPr>
        <w:t xml:space="preserve">, "Testing &amp; Analysis Services Revenue - Internal University Customers". The debit side on the charged grant is usually </w:t>
      </w:r>
      <w:r>
        <w:rPr>
          <w:rFonts w:ascii="Consolas" w:cs="Consolas" w:eastAsia="Consolas" w:hAnsi="Consolas"/>
          <w:color w:val="13294B"/>
          <w:sz w:val="19"/>
          <w:szCs w:val="19"/>
        </w:rPr>
        <w:t xml:space="preserve">143100</w:t>
      </w:r>
      <w:r>
        <w:rPr>
          <w:sz w:val="21"/>
          <w:szCs w:val="21"/>
        </w:rPr>
        <w:t xml:space="preserve">, "Scientific and Laboratory Equipment Rental".</w:t>
      </w:r>
    </w:p>
    <w:p>
      <w:pPr>
        <w:pStyle w:val="Heading2"/>
        <w:spacing w:after="120" w:before="280"/>
      </w:pPr>
      <w:r>
        <w:rPr>
          <w:b/>
          <w:bCs/>
          <w:color w:val="13294B"/>
          <w:sz w:val="24"/>
          <w:szCs w:val="24"/>
        </w:rPr>
        <w:t xml:space="preserve">Survey codes</w:t>
      </w:r>
    </w:p>
    <w:p>
      <w:pPr>
        <w:spacing w:after="140" w:line="276"/>
      </w:pPr>
      <w:r>
        <w:rPr>
          <w:sz w:val="21"/>
          <w:szCs w:val="21"/>
        </w:rPr>
        <w:t xml:space="preserve">The six unit codes are seeded into a </w:t>
      </w:r>
      <w:r>
        <w:rPr>
          <w:rFonts w:ascii="Consolas" w:cs="Consolas" w:eastAsia="Consolas" w:hAnsi="Consolas"/>
          <w:color w:val="13294B"/>
          <w:sz w:val="19"/>
          <w:szCs w:val="19"/>
        </w:rPr>
        <w:t xml:space="preserve">units</w:t>
      </w:r>
      <w:r>
        <w:rPr>
          <w:sz w:val="21"/>
          <w:szCs w:val="21"/>
        </w:rPr>
        <w:t xml:space="preserve"> table: OED, INHS, ISTC, ISGS, ISWS, ISAS. The PRI Suite hard-codes the same list in three separate files and extracts it from a raw organisation string; a table was chosen here so adding a unit needs no file edit. The organisation segment of a CFOPA carries the same information — </w:t>
      </w:r>
      <w:r>
        <w:rPr>
          <w:rFonts w:ascii="Consolas" w:cs="Consolas" w:eastAsia="Consolas" w:hAnsi="Consolas"/>
          <w:color w:val="13294B"/>
          <w:sz w:val="19"/>
          <w:szCs w:val="19"/>
        </w:rPr>
        <w:t xml:space="preserve">375002</w:t>
      </w:r>
      <w:r>
        <w:rPr>
          <w:sz w:val="21"/>
          <w:szCs w:val="21"/>
        </w:rPr>
        <w:t xml:space="preserve"> is INHS — and </w:t>
      </w:r>
      <w:r>
        <w:rPr>
          <w:rFonts w:ascii="Consolas" w:cs="Consolas" w:eastAsia="Consolas" w:hAnsi="Consolas"/>
          <w:color w:val="13294B"/>
          <w:sz w:val="19"/>
          <w:szCs w:val="19"/>
        </w:rPr>
        <w:t xml:space="preserve">375</w:t>
      </w:r>
      <w:r>
        <w:rPr>
          <w:sz w:val="21"/>
          <w:szCs w:val="21"/>
        </w:rPr>
        <w:t xml:space="preserve"> is the survey’s department prefix.</w:t>
      </w:r>
    </w:p>
    <w:p>
      <w:pPr>
        <w:pStyle w:val="Heading2"/>
        <w:spacing w:after="120" w:before="280"/>
      </w:pPr>
      <w:r>
        <w:rPr>
          <w:b/>
          <w:bCs/>
          <w:color w:val="13294B"/>
          <w:sz w:val="24"/>
          <w:szCs w:val="24"/>
        </w:rPr>
        <w:t xml:space="preserve">Short code lists</w:t>
      </w:r>
    </w:p>
    <w:p>
      <w:pPr>
        <w:spacing w:after="140" w:line="276"/>
      </w:pPr>
      <w:r>
        <w:rPr>
          <w:sz w:val="21"/>
          <w:szCs w:val="21"/>
        </w:rPr>
        <w:t xml:space="preserve">Kinds of equipment and rate units live in a </w:t>
      </w:r>
      <w:r>
        <w:rPr>
          <w:rFonts w:ascii="Consolas" w:cs="Consolas" w:eastAsia="Consolas" w:hAnsi="Consolas"/>
          <w:color w:val="13294B"/>
          <w:sz w:val="19"/>
          <w:szCs w:val="19"/>
        </w:rPr>
        <w:t xml:space="preserve">picklists</w:t>
      </w:r>
      <w:r>
        <w:rPr>
          <w:sz w:val="21"/>
          <w:szCs w:val="21"/>
        </w:rPr>
        <w:t xml:space="preserve"> table, modelled on </w:t>
      </w:r>
      <w:r>
        <w:rPr>
          <w:rFonts w:ascii="Consolas" w:cs="Consolas" w:eastAsia="Consolas" w:hAnsi="Consolas"/>
          <w:color w:val="13294B"/>
          <w:sz w:val="19"/>
          <w:szCs w:val="19"/>
        </w:rPr>
        <w:t xml:space="preserve">ref.PickLists</w:t>
      </w:r>
      <w:r>
        <w:rPr>
          <w:sz w:val="21"/>
          <w:szCs w:val="21"/>
        </w:rPr>
        <w:t xml:space="preserve"> in Facilities, protected flag included: a protected code is one the application branches on, so it can be relabelled but not removed. The equipment classes are the same eight Facilities uses.</w:t>
      </w:r>
    </w:p>
    <w:p>
      <w:pPr>
        <w:pStyle w:val="Heading1"/>
        <w:spacing w:after="160" w:before="360"/>
      </w:pPr>
      <w:r>
        <w:rPr>
          <w:b/>
          <w:bCs/>
          <w:color w:val="13294B"/>
          <w:sz w:val="30"/>
          <w:szCs w:val="30"/>
        </w:rPr>
        <w:t xml:space="preserve">10. Two rules worth knowing before you support this</w:t>
      </w:r>
    </w:p>
    <w:p>
      <w:pPr>
        <w:pStyle w:val="Heading2"/>
        <w:spacing w:after="120" w:before="280"/>
      </w:pPr>
      <w:r>
        <w:rPr>
          <w:b/>
          <w:bCs/>
          <w:color w:val="13294B"/>
          <w:sz w:val="24"/>
          <w:szCs w:val="24"/>
        </w:rPr>
        <w:t xml:space="preserve">A charge remembers the rate it was made at</w:t>
      </w:r>
    </w:p>
    <w:p>
      <w:pPr>
        <w:spacing w:after="140" w:line="276"/>
      </w:pPr>
      <w:r>
        <w:rPr>
          <w:sz w:val="21"/>
          <w:szCs w:val="21"/>
        </w:rPr>
        <w:t xml:space="preserve">Each usage record stores the rate, the rate unit, and the receiving subaccount as they stood at the moment of entry. Raising an instrument rate today does not rewrite a charge made last month. That is deliberate, and it is why a rate change never needs a warning about historical data.</w:t>
      </w:r>
    </w:p>
    <w:p>
      <w:pPr>
        <w:pStyle w:val="Heading2"/>
        <w:spacing w:after="120" w:before="280"/>
      </w:pPr>
      <w:r>
        <w:rPr>
          <w:b/>
          <w:bCs/>
          <w:color w:val="13294B"/>
          <w:sz w:val="24"/>
          <w:szCs w:val="24"/>
        </w:rPr>
        <w:t xml:space="preserve">The server decides every scheduling conflict</w:t>
      </w:r>
    </w:p>
    <w:p>
      <w:pPr>
        <w:spacing w:after="140" w:line="276"/>
      </w:pPr>
      <w:r>
        <w:rPr>
          <w:sz w:val="21"/>
          <w:szCs w:val="21"/>
        </w:rPr>
        <w:t xml:space="preserve">Bookings are first come, first served, with no approval queue. Every create, move, and resize is tested against existing bookings inside a database transaction, so two people dragging the same slot at the same second cannot both win. The browser never decides; when the server refuses, the block snaps back and the message names who holds the time.</w:t>
      </w:r>
    </w:p>
    <w:p>
      <w:pPr>
        <w:pStyle w:val="Heading1"/>
        <w:spacing w:after="160" w:before="360"/>
      </w:pPr>
      <w:r>
        <w:rPr>
          <w:b/>
          <w:bCs/>
          <w:color w:val="13294B"/>
          <w:sz w:val="30"/>
          <w:szCs w:val="30"/>
        </w:rPr>
        <w:t xml:space="preserve">11. Open items from the specification</w:t>
      </w:r>
    </w:p>
    <w:p>
      <w:pPr>
        <w:spacing w:after="140" w:line="276"/>
      </w:pPr>
      <w:r>
        <w:rPr>
          <w:sz w:val="21"/>
          <w:szCs w:val="21"/>
        </w:rPr>
        <w:t xml:space="preserve">These were left open by the design document and are worth settling with the laboratory:</w:t>
      </w:r>
    </w:p>
    <w:p>
      <w:pPr>
        <w:pStyle w:val="ListParagraph"/>
        <w:numPr>
          <w:ilvl w:val="0"/>
          <w:numId w:val="2"/>
        </w:numPr>
        <w:spacing w:after="80" w:line="276"/>
      </w:pPr>
      <w:r>
        <w:rPr>
          <w:sz w:val="21"/>
          <w:szCs w:val="21"/>
        </w:rPr>
        <w:t xml:space="preserve">Whether the campus server can pass a NetID through to the application. Section 5 above is the whole change if it can.</w:t>
      </w:r>
    </w:p>
    <w:p>
      <w:pPr>
        <w:pStyle w:val="ListParagraph"/>
        <w:numPr>
          <w:ilvl w:val="0"/>
          <w:numId w:val="2"/>
        </w:numPr>
        <w:spacing w:after="80" w:line="276"/>
      </w:pPr>
      <w:r>
        <w:rPr>
          <w:sz w:val="21"/>
          <w:szCs w:val="21"/>
        </w:rPr>
        <w:t xml:space="preserve">Which rate unit applies to each instrument — per sample, per hour, or per run — before the equipment table is seeded.</w:t>
      </w:r>
    </w:p>
    <w:p>
      <w:pPr>
        <w:pStyle w:val="ListParagraph"/>
        <w:numPr>
          <w:ilvl w:val="0"/>
          <w:numId w:val="2"/>
        </w:numPr>
        <w:spacing w:after="80" w:line="276"/>
      </w:pPr>
      <w:r>
        <w:rPr>
          <w:sz w:val="21"/>
          <w:szCs w:val="21"/>
        </w:rPr>
        <w:t xml:space="preserve">Whether a reservation should carry a grant assignment at booking time. As built it does not: the charge follows the actual run, and the grant is chosen at use entry.</w:t>
      </w:r>
    </w:p>
    <w:p>
      <w:pPr>
        <w:pStyle w:val="ListParagraph"/>
        <w:numPr>
          <w:ilvl w:val="0"/>
          <w:numId w:val="2"/>
        </w:numPr>
        <w:spacing w:after="80" w:line="276"/>
      </w:pPr>
      <w:r>
        <w:rPr>
          <w:sz w:val="21"/>
          <w:szCs w:val="21"/>
        </w:rPr>
        <w:t xml:space="preserve">Whether administrators should notify users by email when cancelling a booking. As built, cancelling sends nothing; the screen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Laboratory Equipment System — README</dc:title>
  <dc:creator>Shared Laboratory Equipment System</dc:creator>
  <dc:description>Installation, backup, and the NetID swap point.</dc:description>
  <cp:lastModifiedBy>Un-named</cp:lastModifiedBy>
  <cp:revision>1</cp:revision>
  <dcterms:created xsi:type="dcterms:W3CDTF">2026-09-04T14:47:44.029Z</dcterms:created>
  <dcterms:modified xsi:type="dcterms:W3CDTF">2026-09-04T14:47:44.030Z</dcterms:modified>
</cp:coreProperties>
</file>

<file path=docProps/custom.xml><?xml version="1.0" encoding="utf-8"?>
<Properties xmlns="http://schemas.openxmlformats.org/officeDocument/2006/custom-properties" xmlns:vt="http://schemas.openxmlformats.org/officeDocument/2006/docPropsVTypes"/>
</file>