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250211_170047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01012345678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민원인(명시되지 않음)</w:t>
              <w:br/>
              <w:t>- 언제: 시간 정보(명시되지 않음)</w:t>
              <w:br/>
              <w:t>- 어디서: 장소 정보(명시되지 않음)</w:t>
              <w:br/>
              <w:t>- 무엇을: "스벌탱"이라는 민원 제기</w:t>
              <w:br/>
              <w:t>- 왜: 이유 정보(명시되지 않음)</w:t>
              <w:br/>
              <w:t>- 어떻게: 방법 정보(명시되지 않음)</w:t>
              <w:br/>
              <w:br/>
              <w:t>※ 주어진 정보가 매우 부족하여, 민원의 세부 내용을 파악하기 어렵습니다. 민원인으로부터 더 자세한 정보를 요청해야 합니다.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