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0094" w:rsidRDefault="00A50094">
      <w:pPr>
        <w:spacing w:before="800"/>
        <w:jc w:val="center"/>
        <w:rPr>
          <w:b/>
          <w:bCs/>
          <w:color w:val="B8860B"/>
          <w:spacing w:val="40"/>
          <w:sz w:val="24"/>
          <w:szCs w:val="24"/>
        </w:rPr>
      </w:pPr>
    </w:p>
    <w:p w:rsidR="00A50094" w:rsidRDefault="00A50094">
      <w:pPr>
        <w:spacing w:before="800"/>
        <w:jc w:val="center"/>
        <w:rPr>
          <w:b/>
          <w:bCs/>
          <w:color w:val="B8860B"/>
          <w:spacing w:val="40"/>
          <w:sz w:val="24"/>
          <w:szCs w:val="24"/>
        </w:rPr>
      </w:pPr>
    </w:p>
    <w:p w:rsidR="00A50094" w:rsidRDefault="00A50094">
      <w:pPr>
        <w:spacing w:before="800"/>
        <w:jc w:val="center"/>
        <w:rPr>
          <w:b/>
          <w:bCs/>
          <w:color w:val="B8860B"/>
          <w:spacing w:val="40"/>
          <w:sz w:val="24"/>
          <w:szCs w:val="24"/>
        </w:rPr>
      </w:pPr>
    </w:p>
    <w:p w:rsidR="00400BE1" w:rsidRPr="00A50094" w:rsidRDefault="003C067D" w:rsidP="00A50094">
      <w:pPr>
        <w:spacing w:before="800"/>
        <w:rPr>
          <w:sz w:val="28"/>
        </w:rPr>
      </w:pPr>
      <w:r w:rsidRPr="00A50094">
        <w:rPr>
          <w:b/>
          <w:bCs/>
          <w:color w:val="B8860B"/>
          <w:spacing w:val="40"/>
          <w:sz w:val="36"/>
          <w:szCs w:val="24"/>
        </w:rPr>
        <w:t>CASE STUDY</w:t>
      </w:r>
    </w:p>
    <w:p w:rsidR="00400BE1" w:rsidRPr="00A50094" w:rsidRDefault="003C067D" w:rsidP="00A50094">
      <w:pPr>
        <w:spacing w:before="200" w:after="100"/>
        <w:rPr>
          <w:sz w:val="28"/>
        </w:rPr>
      </w:pPr>
      <w:r w:rsidRPr="00A50094">
        <w:rPr>
          <w:b/>
          <w:bCs/>
          <w:color w:val="1A3A5C"/>
          <w:sz w:val="56"/>
          <w:szCs w:val="44"/>
        </w:rPr>
        <w:t xml:space="preserve">Aerodynamic </w:t>
      </w:r>
      <w:proofErr w:type="spellStart"/>
      <w:r w:rsidRPr="00A50094">
        <w:rPr>
          <w:b/>
          <w:bCs/>
          <w:color w:val="1A3A5C"/>
          <w:sz w:val="56"/>
          <w:szCs w:val="44"/>
        </w:rPr>
        <w:t>Characterisation</w:t>
      </w:r>
      <w:proofErr w:type="spellEnd"/>
      <w:r w:rsidRPr="00A50094">
        <w:rPr>
          <w:b/>
          <w:bCs/>
          <w:color w:val="1A3A5C"/>
          <w:sz w:val="56"/>
          <w:szCs w:val="44"/>
        </w:rPr>
        <w:t xml:space="preserve"> of a NACA 6412</w:t>
      </w:r>
    </w:p>
    <w:p w:rsidR="00A50094" w:rsidRPr="00A50094" w:rsidRDefault="003C067D" w:rsidP="00A50094">
      <w:pPr>
        <w:spacing w:after="300"/>
        <w:rPr>
          <w:sz w:val="28"/>
        </w:rPr>
      </w:pPr>
      <w:r w:rsidRPr="00A50094">
        <w:rPr>
          <w:b/>
          <w:bCs/>
          <w:color w:val="1A3A5C"/>
          <w:sz w:val="44"/>
          <w:szCs w:val="32"/>
        </w:rPr>
        <w:t>F1 Front Wing Section: 2D Foil Analysis and 3D Ground Effect Study</w:t>
      </w:r>
    </w:p>
    <w:p w:rsidR="00400BE1" w:rsidRDefault="003C067D">
      <w:pPr>
        <w:pBdr>
          <w:bottom w:val="single" w:sz="16" w:space="8" w:color="B8860B"/>
        </w:pBdr>
        <w:spacing w:after="600"/>
        <w:jc w:val="center"/>
      </w:pPr>
      <w:r>
        <w:rPr>
          <w:sz w:val="8"/>
          <w:szCs w:val="8"/>
        </w:rPr>
        <w:t xml:space="preserve">  </w:t>
      </w:r>
    </w:p>
    <w:p w:rsidR="00400BE1" w:rsidRDefault="00A50094">
      <w:pPr>
        <w:spacing w:after="80"/>
        <w:jc w:val="center"/>
      </w:pPr>
      <w:r>
        <w:rPr>
          <w:b/>
          <w:bCs/>
          <w:color w:val="333333"/>
          <w:sz w:val="26"/>
          <w:szCs w:val="26"/>
        </w:rPr>
        <w:t xml:space="preserve">Omgbrumaye </w:t>
      </w:r>
      <w:r w:rsidR="003C067D">
        <w:rPr>
          <w:b/>
          <w:bCs/>
          <w:color w:val="333333"/>
          <w:sz w:val="26"/>
          <w:szCs w:val="26"/>
        </w:rPr>
        <w:t>Praise</w:t>
      </w:r>
    </w:p>
    <w:p w:rsidR="00400BE1" w:rsidRDefault="003C067D" w:rsidP="00A50094">
      <w:pPr>
        <w:spacing w:after="40"/>
        <w:jc w:val="center"/>
      </w:pPr>
      <w:r>
        <w:rPr>
          <w:color w:val="333333"/>
          <w:sz w:val="22"/>
          <w:szCs w:val="22"/>
        </w:rPr>
        <w:t>Aerospace Engineering, Lagos State University (LASU)</w:t>
      </w:r>
    </w:p>
    <w:p w:rsidR="00400BE1" w:rsidRDefault="003C067D">
      <w:pPr>
        <w:spacing w:after="400"/>
        <w:jc w:val="center"/>
      </w:pPr>
      <w:r>
        <w:rPr>
          <w:color w:val="333333"/>
          <w:sz w:val="22"/>
          <w:szCs w:val="22"/>
        </w:rPr>
        <w:t>July 2026</w:t>
      </w:r>
    </w:p>
    <w:p w:rsidR="00A50094" w:rsidRDefault="00A50094">
      <w:pPr>
        <w:spacing w:after="40"/>
        <w:jc w:val="center"/>
        <w:rPr>
          <w:color w:val="1A3A5C"/>
        </w:rPr>
      </w:pPr>
    </w:p>
    <w:p w:rsidR="00A50094" w:rsidRDefault="00A50094">
      <w:pPr>
        <w:spacing w:after="40"/>
        <w:jc w:val="center"/>
        <w:rPr>
          <w:color w:val="1A3A5C"/>
        </w:rPr>
      </w:pPr>
    </w:p>
    <w:p w:rsidR="00A50094" w:rsidRDefault="00A50094" w:rsidP="00A50094">
      <w:pPr>
        <w:spacing w:after="40"/>
        <w:rPr>
          <w:color w:val="1A3A5C"/>
        </w:rPr>
      </w:pPr>
    </w:p>
    <w:p w:rsidR="00A50094" w:rsidRDefault="00A50094" w:rsidP="00A50094">
      <w:pPr>
        <w:spacing w:after="40"/>
        <w:rPr>
          <w:color w:val="1A3A5C"/>
        </w:rPr>
      </w:pPr>
    </w:p>
    <w:p w:rsidR="00A50094" w:rsidRDefault="00A50094" w:rsidP="00A50094">
      <w:pPr>
        <w:spacing w:after="40"/>
        <w:rPr>
          <w:color w:val="1A3A5C"/>
        </w:rPr>
      </w:pPr>
    </w:p>
    <w:p w:rsidR="00A50094" w:rsidRDefault="00A50094" w:rsidP="00A50094">
      <w:pPr>
        <w:spacing w:after="40"/>
        <w:rPr>
          <w:color w:val="1A3A5C"/>
        </w:rPr>
      </w:pPr>
    </w:p>
    <w:p w:rsidR="00A50094" w:rsidRDefault="00A50094" w:rsidP="00A50094">
      <w:pPr>
        <w:spacing w:after="40"/>
        <w:rPr>
          <w:color w:val="1A3A5C"/>
        </w:rPr>
      </w:pPr>
    </w:p>
    <w:p w:rsidR="00A50094" w:rsidRDefault="00A50094" w:rsidP="00A50094">
      <w:pPr>
        <w:spacing w:after="40"/>
        <w:rPr>
          <w:color w:val="1A3A5C"/>
        </w:rPr>
      </w:pPr>
    </w:p>
    <w:p w:rsidR="00A50094" w:rsidRDefault="00A50094">
      <w:pPr>
        <w:spacing w:after="40"/>
        <w:jc w:val="center"/>
        <w:rPr>
          <w:color w:val="1A3A5C"/>
        </w:rPr>
      </w:pPr>
    </w:p>
    <w:p w:rsidR="00A50094" w:rsidRDefault="00A50094">
      <w:pPr>
        <w:spacing w:after="40"/>
        <w:jc w:val="center"/>
        <w:rPr>
          <w:color w:val="1A3A5C"/>
        </w:rPr>
      </w:pPr>
    </w:p>
    <w:p w:rsidR="00A50094" w:rsidRDefault="00A50094">
      <w:pPr>
        <w:spacing w:after="40"/>
        <w:jc w:val="center"/>
        <w:rPr>
          <w:color w:val="1A3A5C"/>
        </w:rPr>
      </w:pPr>
    </w:p>
    <w:p w:rsidR="00400BE1" w:rsidRDefault="003C067D" w:rsidP="00A50094">
      <w:pPr>
        <w:spacing w:after="40"/>
      </w:pPr>
      <w:r>
        <w:rPr>
          <w:color w:val="1A3A5C"/>
        </w:rPr>
        <w:t>Tools: XFLR5 v6.62 (</w:t>
      </w:r>
      <w:proofErr w:type="spellStart"/>
      <w:r>
        <w:rPr>
          <w:color w:val="1A3A5C"/>
        </w:rPr>
        <w:t>XFoil</w:t>
      </w:r>
      <w:proofErr w:type="spellEnd"/>
      <w:r>
        <w:rPr>
          <w:color w:val="1A3A5C"/>
        </w:rPr>
        <w:t xml:space="preserve"> + VLM2</w:t>
      </w:r>
      <w:proofErr w:type="gramStart"/>
      <w:r>
        <w:rPr>
          <w:color w:val="1A3A5C"/>
        </w:rPr>
        <w:t>)  |</w:t>
      </w:r>
      <w:proofErr w:type="gramEnd"/>
      <w:r>
        <w:rPr>
          <w:color w:val="1A3A5C"/>
        </w:rPr>
        <w:t xml:space="preserve">  Python 3.13 (</w:t>
      </w:r>
      <w:proofErr w:type="spellStart"/>
      <w:r>
        <w:rPr>
          <w:color w:val="1A3A5C"/>
        </w:rPr>
        <w:t>NumPy</w:t>
      </w:r>
      <w:proofErr w:type="spellEnd"/>
      <w:r>
        <w:rPr>
          <w:color w:val="1A3A5C"/>
        </w:rPr>
        <w:t xml:space="preserve">, </w:t>
      </w:r>
      <w:proofErr w:type="spellStart"/>
      <w:r>
        <w:rPr>
          <w:color w:val="1A3A5C"/>
        </w:rPr>
        <w:t>Matplotlib</w:t>
      </w:r>
      <w:proofErr w:type="spellEnd"/>
      <w:r>
        <w:rPr>
          <w:color w:val="1A3A5C"/>
        </w:rPr>
        <w:t>)</w:t>
      </w:r>
    </w:p>
    <w:p w:rsidR="00400BE1" w:rsidRDefault="003C067D" w:rsidP="00A50094">
      <w:pPr>
        <w:spacing w:after="40"/>
      </w:pPr>
      <w:r>
        <w:rPr>
          <w:color w:val="1A3A5C"/>
        </w:rPr>
        <w:t>Repository: github.com/Praise1417/naca6412-f1-frontwing-study</w:t>
      </w:r>
    </w:p>
    <w:p w:rsidR="00400BE1" w:rsidRDefault="003C067D" w:rsidP="00A50094">
      <w:r>
        <w:rPr>
          <w:i/>
          <w:iCs/>
          <w:color w:val="1A3A5C"/>
        </w:rPr>
        <w:t>Part 2 of a 6-month Aerospace Portfolio Series (Part 1: nosecone-</w:t>
      </w:r>
      <w:proofErr w:type="spellStart"/>
      <w:r>
        <w:rPr>
          <w:i/>
          <w:iCs/>
          <w:color w:val="1A3A5C"/>
        </w:rPr>
        <w:t>cfd</w:t>
      </w:r>
      <w:proofErr w:type="spellEnd"/>
      <w:r>
        <w:rPr>
          <w:i/>
          <w:iCs/>
          <w:color w:val="1A3A5C"/>
        </w:rPr>
        <w:t>)</w:t>
      </w:r>
      <w:r>
        <w:br w:type="page"/>
      </w:r>
    </w:p>
    <w:p w:rsidR="00400BE1" w:rsidRDefault="003C067D">
      <w:pPr>
        <w:pStyle w:val="Heading1"/>
        <w:pBdr>
          <w:bottom w:val="single" w:sz="12" w:space="4" w:color="B8860B"/>
        </w:pBdr>
        <w:spacing w:before="400" w:after="200"/>
      </w:pPr>
      <w:r>
        <w:rPr>
          <w:b/>
          <w:bCs/>
          <w:color w:val="1A3A5C"/>
          <w:sz w:val="30"/>
          <w:szCs w:val="30"/>
        </w:rPr>
        <w:lastRenderedPageBreak/>
        <w:t>Summary</w:t>
      </w:r>
    </w:p>
    <w:p w:rsidR="00400BE1" w:rsidRDefault="003C067D">
      <w:pPr>
        <w:spacing w:after="160" w:line="276" w:lineRule="auto"/>
        <w:jc w:val="both"/>
      </w:pPr>
      <w:r>
        <w:rPr>
          <w:color w:val="333333"/>
          <w:sz w:val="22"/>
          <w:szCs w:val="22"/>
        </w:rPr>
        <w:t xml:space="preserve">This study </w:t>
      </w:r>
      <w:proofErr w:type="spellStart"/>
      <w:r>
        <w:rPr>
          <w:color w:val="333333"/>
          <w:sz w:val="22"/>
          <w:szCs w:val="22"/>
        </w:rPr>
        <w:t>characterises</w:t>
      </w:r>
      <w:proofErr w:type="spellEnd"/>
      <w:r>
        <w:rPr>
          <w:color w:val="333333"/>
          <w:sz w:val="22"/>
          <w:szCs w:val="22"/>
        </w:rPr>
        <w:t xml:space="preserve"> the NACA 6412 </w:t>
      </w:r>
      <w:proofErr w:type="spellStart"/>
      <w:r>
        <w:rPr>
          <w:color w:val="333333"/>
          <w:sz w:val="22"/>
          <w:szCs w:val="22"/>
        </w:rPr>
        <w:t>aerof</w:t>
      </w:r>
      <w:r>
        <w:rPr>
          <w:color w:val="333333"/>
          <w:sz w:val="22"/>
          <w:szCs w:val="22"/>
        </w:rPr>
        <w:t>oil</w:t>
      </w:r>
      <w:proofErr w:type="spellEnd"/>
      <w:r>
        <w:rPr>
          <w:color w:val="333333"/>
          <w:sz w:val="22"/>
          <w:szCs w:val="22"/>
        </w:rPr>
        <w:t xml:space="preserve"> section as a candidate F1 front wing profile through two complementary aerodynamic analyses performed in XFLR5 v6.62. The first is a 2D direct foil (</w:t>
      </w:r>
      <w:proofErr w:type="spellStart"/>
      <w:r>
        <w:rPr>
          <w:color w:val="333333"/>
          <w:sz w:val="22"/>
          <w:szCs w:val="22"/>
        </w:rPr>
        <w:t>XFoil</w:t>
      </w:r>
      <w:proofErr w:type="spellEnd"/>
      <w:r>
        <w:rPr>
          <w:color w:val="333333"/>
          <w:sz w:val="22"/>
          <w:szCs w:val="22"/>
        </w:rPr>
        <w:t>) analysis at Re = 1,000,000, sweeping angle of attack from −5° to 18° to establish baseline lift,</w:t>
      </w:r>
      <w:r>
        <w:rPr>
          <w:color w:val="333333"/>
          <w:sz w:val="22"/>
          <w:szCs w:val="22"/>
        </w:rPr>
        <w:t xml:space="preserve"> drag, and pitching moment </w:t>
      </w:r>
      <w:proofErr w:type="spellStart"/>
      <w:r>
        <w:rPr>
          <w:color w:val="333333"/>
          <w:sz w:val="22"/>
          <w:szCs w:val="22"/>
        </w:rPr>
        <w:t>behaviour</w:t>
      </w:r>
      <w:proofErr w:type="spellEnd"/>
      <w:r>
        <w:rPr>
          <w:color w:val="333333"/>
          <w:sz w:val="22"/>
          <w:szCs w:val="22"/>
        </w:rPr>
        <w:t>. The second is a 3D vortex-lattice (VLM2) study of a wing built from the same section, run at a fixed angle of attack of 5° across five ground clearance ratios (h/c = 1.0, 0.5, 0.3, 0.2, 0.1) to isolate the ground effec</w:t>
      </w:r>
      <w:r>
        <w:rPr>
          <w:color w:val="333333"/>
          <w:sz w:val="22"/>
          <w:szCs w:val="22"/>
        </w:rPr>
        <w:t>t phenomenon central to front wing aerodynamics.</w:t>
      </w:r>
    </w:p>
    <w:p w:rsidR="00400BE1" w:rsidRDefault="003C067D">
      <w:pPr>
        <w:spacing w:after="160" w:line="276" w:lineRule="auto"/>
        <w:jc w:val="both"/>
      </w:pPr>
      <w:r>
        <w:rPr>
          <w:color w:val="333333"/>
          <w:sz w:val="22"/>
          <w:szCs w:val="22"/>
        </w:rPr>
        <w:t>The 2D study found a maximum lift coefficient of 1.698 at 15.5°, a minimum drag coefficient of 0.00724 at 2.5°, and peak aerodynamic efficiency (</w:t>
      </w:r>
      <w:proofErr w:type="spellStart"/>
      <w:r>
        <w:rPr>
          <w:color w:val="333333"/>
          <w:sz w:val="22"/>
          <w:szCs w:val="22"/>
        </w:rPr>
        <w:t>Cl</w:t>
      </w:r>
      <w:proofErr w:type="spellEnd"/>
      <w:r>
        <w:rPr>
          <w:color w:val="333333"/>
          <w:sz w:val="22"/>
          <w:szCs w:val="22"/>
        </w:rPr>
        <w:t>/Cd = 147.2) at 6°. The 3D ground effect sweep found lift co</w:t>
      </w:r>
      <w:r>
        <w:rPr>
          <w:color w:val="333333"/>
          <w:sz w:val="22"/>
          <w:szCs w:val="22"/>
        </w:rPr>
        <w:t>efficient rising from 0.941 at h/c = 1.0 to 1.735 at h/c = 0.1 — an 84% increase — while drag coefficient fell from 0.0247 to 0.0180 over the same range, a trend consistent with the physical mechanism exploited by real F1 front wings operated at very low r</w:t>
      </w:r>
      <w:r>
        <w:rPr>
          <w:color w:val="333333"/>
          <w:sz w:val="22"/>
          <w:szCs w:val="22"/>
        </w:rPr>
        <w:t>ide heights.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00BE1">
        <w:tblPrEx>
          <w:tblCellMar>
            <w:top w:w="0" w:type="dxa"/>
            <w:bottom w:w="0" w:type="dxa"/>
          </w:tblCellMar>
        </w:tblPrEx>
        <w:tc>
          <w:tcPr>
            <w:tcW w:w="9000" w:type="dxa"/>
            <w:tcBorders>
              <w:top w:val="single" w:sz="8" w:space="0" w:color="B8860B"/>
              <w:bottom w:val="single" w:sz="8" w:space="0" w:color="B8860B"/>
            </w:tcBorders>
            <w:shd w:val="clear" w:color="auto" w:fill="FBF3E0"/>
            <w:tcMar>
              <w:top w:w="160" w:type="dxa"/>
              <w:left w:w="200" w:type="dxa"/>
              <w:bottom w:w="160" w:type="dxa"/>
              <w:right w:w="200" w:type="dxa"/>
            </w:tcMar>
          </w:tcPr>
          <w:p w:rsidR="00400BE1" w:rsidRDefault="003C067D">
            <w:pPr>
              <w:spacing w:after="80"/>
            </w:pPr>
            <w:r>
              <w:rPr>
                <w:b/>
                <w:bCs/>
                <w:color w:val="1A3A5C"/>
                <w:sz w:val="22"/>
                <w:szCs w:val="22"/>
              </w:rPr>
              <w:t>Note on scope</w:t>
            </w:r>
          </w:p>
          <w:p w:rsidR="00400BE1" w:rsidRDefault="003C067D">
            <w:pPr>
              <w:jc w:val="both"/>
            </w:pPr>
            <w:r>
              <w:rPr>
                <w:color w:val="333333"/>
                <w:sz w:val="21"/>
                <w:szCs w:val="21"/>
              </w:rPr>
              <w:t>This is a low-order aerodynamic study using panel/vortex methods (</w:t>
            </w:r>
            <w:proofErr w:type="spellStart"/>
            <w:r>
              <w:rPr>
                <w:color w:val="333333"/>
                <w:sz w:val="21"/>
                <w:szCs w:val="21"/>
              </w:rPr>
              <w:t>XFoil</w:t>
            </w:r>
            <w:proofErr w:type="spellEnd"/>
            <w:r>
              <w:rPr>
                <w:color w:val="333333"/>
                <w:sz w:val="21"/>
                <w:szCs w:val="21"/>
              </w:rPr>
              <w:t xml:space="preserve"> and VLM2), not a full viscous 3D CFD analysis. Its purpose is to establish baseline section performance and isolate the </w:t>
            </w:r>
            <w:proofErr w:type="spellStart"/>
            <w:r>
              <w:rPr>
                <w:color w:val="333333"/>
                <w:sz w:val="21"/>
                <w:szCs w:val="21"/>
              </w:rPr>
              <w:t>inviscid</w:t>
            </w:r>
            <w:proofErr w:type="spellEnd"/>
            <w:r>
              <w:rPr>
                <w:color w:val="333333"/>
                <w:sz w:val="21"/>
                <w:szCs w:val="21"/>
              </w:rPr>
              <w:t xml:space="preserve"> ground-effect mechanism efficiently, ahead of a planned</w:t>
            </w:r>
            <w:r>
              <w:rPr>
                <w:color w:val="333333"/>
                <w:sz w:val="21"/>
                <w:szCs w:val="21"/>
              </w:rPr>
              <w:t xml:space="preserve"> higher-fidelity CFD validation in a future project.</w:t>
            </w:r>
          </w:p>
        </w:tc>
      </w:tr>
    </w:tbl>
    <w:p w:rsidR="00400BE1" w:rsidRDefault="003C067D">
      <w:r>
        <w:br w:type="page"/>
      </w:r>
    </w:p>
    <w:p w:rsidR="00400BE1" w:rsidRDefault="003C067D">
      <w:pPr>
        <w:pStyle w:val="Heading1"/>
        <w:pBdr>
          <w:bottom w:val="single" w:sz="12" w:space="4" w:color="B8860B"/>
        </w:pBdr>
        <w:spacing w:before="400" w:after="200"/>
      </w:pPr>
      <w:r>
        <w:rPr>
          <w:b/>
          <w:bCs/>
          <w:color w:val="1A3A5C"/>
          <w:sz w:val="30"/>
          <w:szCs w:val="30"/>
        </w:rPr>
        <w:lastRenderedPageBreak/>
        <w:t>Table of Contents</w:t>
      </w:r>
    </w:p>
    <w:p w:rsidR="00400BE1" w:rsidRDefault="003C067D">
      <w:pPr>
        <w:spacing w:after="80"/>
      </w:pPr>
      <w:r>
        <w:rPr>
          <w:b/>
          <w:bCs/>
          <w:color w:val="1A3A5C"/>
          <w:sz w:val="22"/>
          <w:szCs w:val="22"/>
        </w:rPr>
        <w:t>1. Introduction</w:t>
      </w:r>
    </w:p>
    <w:p w:rsidR="00400BE1" w:rsidRDefault="003C067D">
      <w:pPr>
        <w:spacing w:after="80"/>
      </w:pPr>
      <w:r>
        <w:rPr>
          <w:color w:val="333333"/>
          <w:sz w:val="22"/>
          <w:szCs w:val="22"/>
        </w:rPr>
        <w:t xml:space="preserve">  1.1 Motivation</w:t>
      </w:r>
    </w:p>
    <w:p w:rsidR="00400BE1" w:rsidRDefault="003C067D">
      <w:pPr>
        <w:spacing w:after="80"/>
      </w:pPr>
      <w:r>
        <w:rPr>
          <w:color w:val="333333"/>
          <w:sz w:val="22"/>
          <w:szCs w:val="22"/>
        </w:rPr>
        <w:t xml:space="preserve">  1.2 Objectives</w:t>
      </w:r>
    </w:p>
    <w:p w:rsidR="00400BE1" w:rsidRDefault="003C067D">
      <w:pPr>
        <w:spacing w:after="80"/>
      </w:pPr>
      <w:r>
        <w:rPr>
          <w:b/>
          <w:bCs/>
          <w:color w:val="1A3A5C"/>
          <w:sz w:val="22"/>
          <w:szCs w:val="22"/>
        </w:rPr>
        <w:t>2. Methodology — Module 1: 2D Direct Foil Analysis</w:t>
      </w:r>
      <w:bookmarkStart w:id="0" w:name="_GoBack"/>
      <w:bookmarkEnd w:id="0"/>
    </w:p>
    <w:p w:rsidR="00400BE1" w:rsidRDefault="003C067D">
      <w:pPr>
        <w:spacing w:after="80"/>
      </w:pPr>
      <w:r>
        <w:rPr>
          <w:color w:val="333333"/>
          <w:sz w:val="22"/>
          <w:szCs w:val="22"/>
        </w:rPr>
        <w:t xml:space="preserve">  2.1 </w:t>
      </w:r>
      <w:proofErr w:type="spellStart"/>
      <w:r>
        <w:rPr>
          <w:color w:val="333333"/>
          <w:sz w:val="22"/>
          <w:szCs w:val="22"/>
        </w:rPr>
        <w:t>Aerofoil</w:t>
      </w:r>
      <w:proofErr w:type="spellEnd"/>
      <w:r>
        <w:rPr>
          <w:color w:val="333333"/>
          <w:sz w:val="22"/>
          <w:szCs w:val="22"/>
        </w:rPr>
        <w:t xml:space="preserve"> Geometry</w:t>
      </w:r>
    </w:p>
    <w:p w:rsidR="00400BE1" w:rsidRDefault="003C067D">
      <w:pPr>
        <w:spacing w:after="80"/>
      </w:pPr>
      <w:r>
        <w:rPr>
          <w:color w:val="333333"/>
          <w:sz w:val="22"/>
          <w:szCs w:val="22"/>
        </w:rPr>
        <w:t xml:space="preserve">  2.2 Solver Configuration</w:t>
      </w:r>
    </w:p>
    <w:p w:rsidR="00400BE1" w:rsidRDefault="003C067D">
      <w:pPr>
        <w:spacing w:after="80"/>
      </w:pPr>
      <w:r>
        <w:rPr>
          <w:b/>
          <w:bCs/>
          <w:color w:val="1A3A5C"/>
          <w:sz w:val="22"/>
          <w:szCs w:val="22"/>
        </w:rPr>
        <w:t>3. Methodology — Module 2: 3D Ground Effect Study</w:t>
      </w:r>
    </w:p>
    <w:p w:rsidR="00400BE1" w:rsidRDefault="003C067D">
      <w:pPr>
        <w:spacing w:after="80"/>
      </w:pPr>
      <w:r>
        <w:rPr>
          <w:color w:val="333333"/>
          <w:sz w:val="22"/>
          <w:szCs w:val="22"/>
        </w:rPr>
        <w:t xml:space="preserve">  3.1 Wing Geometry</w:t>
      </w:r>
    </w:p>
    <w:p w:rsidR="00400BE1" w:rsidRDefault="003C067D">
      <w:pPr>
        <w:spacing w:after="80"/>
      </w:pPr>
      <w:r>
        <w:rPr>
          <w:color w:val="333333"/>
          <w:sz w:val="22"/>
          <w:szCs w:val="22"/>
        </w:rPr>
        <w:t xml:space="preserve">  3.2 Ground Effect Modelling Approach</w:t>
      </w:r>
    </w:p>
    <w:p w:rsidR="00400BE1" w:rsidRDefault="003C067D">
      <w:pPr>
        <w:spacing w:after="80"/>
      </w:pPr>
      <w:r>
        <w:rPr>
          <w:color w:val="333333"/>
          <w:sz w:val="22"/>
          <w:szCs w:val="22"/>
        </w:rPr>
        <w:t xml:space="preserve">  3.3 Solver Configuration</w:t>
      </w:r>
    </w:p>
    <w:p w:rsidR="00400BE1" w:rsidRDefault="003C067D">
      <w:pPr>
        <w:spacing w:after="80"/>
      </w:pPr>
      <w:r>
        <w:rPr>
          <w:b/>
          <w:bCs/>
          <w:color w:val="1A3A5C"/>
          <w:sz w:val="22"/>
          <w:szCs w:val="22"/>
        </w:rPr>
        <w:t xml:space="preserve">4. Results — Module 1: 2D Foil </w:t>
      </w:r>
      <w:proofErr w:type="spellStart"/>
      <w:r>
        <w:rPr>
          <w:b/>
          <w:bCs/>
          <w:color w:val="1A3A5C"/>
          <w:sz w:val="22"/>
          <w:szCs w:val="22"/>
        </w:rPr>
        <w:t>Characterisation</w:t>
      </w:r>
      <w:proofErr w:type="spellEnd"/>
    </w:p>
    <w:p w:rsidR="00400BE1" w:rsidRDefault="003C067D">
      <w:pPr>
        <w:spacing w:after="80"/>
      </w:pPr>
      <w:r>
        <w:rPr>
          <w:color w:val="333333"/>
          <w:sz w:val="22"/>
          <w:szCs w:val="22"/>
        </w:rPr>
        <w:t xml:space="preserve">  4.1 Lift and Drag </w:t>
      </w:r>
      <w:proofErr w:type="spellStart"/>
      <w:r>
        <w:rPr>
          <w:color w:val="333333"/>
          <w:sz w:val="22"/>
          <w:szCs w:val="22"/>
        </w:rPr>
        <w:t>Behaviour</w:t>
      </w:r>
      <w:proofErr w:type="spellEnd"/>
    </w:p>
    <w:p w:rsidR="00400BE1" w:rsidRDefault="003C067D">
      <w:pPr>
        <w:spacing w:after="80"/>
      </w:pPr>
      <w:r>
        <w:rPr>
          <w:color w:val="333333"/>
          <w:sz w:val="22"/>
          <w:szCs w:val="22"/>
        </w:rPr>
        <w:t xml:space="preserve">  4.2 Drag Polar and Efficiency</w:t>
      </w:r>
    </w:p>
    <w:p w:rsidR="00400BE1" w:rsidRDefault="003C067D">
      <w:pPr>
        <w:spacing w:after="80"/>
      </w:pPr>
      <w:r>
        <w:rPr>
          <w:color w:val="333333"/>
          <w:sz w:val="22"/>
          <w:szCs w:val="22"/>
        </w:rPr>
        <w:t xml:space="preserve">  4.3 Pitching Moment</w:t>
      </w:r>
    </w:p>
    <w:p w:rsidR="00400BE1" w:rsidRDefault="003C067D">
      <w:pPr>
        <w:spacing w:after="80"/>
      </w:pPr>
      <w:r>
        <w:rPr>
          <w:b/>
          <w:bCs/>
          <w:color w:val="1A3A5C"/>
          <w:sz w:val="22"/>
          <w:szCs w:val="22"/>
        </w:rPr>
        <w:t>5. Results — Module 2: Ground Effect Sweep</w:t>
      </w:r>
    </w:p>
    <w:p w:rsidR="00400BE1" w:rsidRDefault="003C067D">
      <w:pPr>
        <w:spacing w:after="80"/>
      </w:pPr>
      <w:r>
        <w:rPr>
          <w:color w:val="333333"/>
          <w:sz w:val="22"/>
          <w:szCs w:val="22"/>
        </w:rPr>
        <w:t xml:space="preserve">  5.1 Lift and Drag </w:t>
      </w:r>
      <w:proofErr w:type="spellStart"/>
      <w:r>
        <w:rPr>
          <w:color w:val="333333"/>
          <w:sz w:val="22"/>
          <w:szCs w:val="22"/>
        </w:rPr>
        <w:t>vs</w:t>
      </w:r>
      <w:proofErr w:type="spellEnd"/>
      <w:r>
        <w:rPr>
          <w:color w:val="333333"/>
          <w:sz w:val="22"/>
          <w:szCs w:val="22"/>
        </w:rPr>
        <w:t xml:space="preserve"> Ground Clearance</w:t>
      </w:r>
    </w:p>
    <w:p w:rsidR="00400BE1" w:rsidRDefault="003C067D">
      <w:pPr>
        <w:spacing w:after="80"/>
      </w:pPr>
      <w:r>
        <w:rPr>
          <w:color w:val="333333"/>
          <w:sz w:val="22"/>
          <w:szCs w:val="22"/>
        </w:rPr>
        <w:t xml:space="preserve">  5.2 Aerodynamic Efficiency</w:t>
      </w:r>
    </w:p>
    <w:p w:rsidR="00400BE1" w:rsidRDefault="003C067D">
      <w:pPr>
        <w:spacing w:after="80"/>
      </w:pPr>
      <w:r>
        <w:rPr>
          <w:color w:val="333333"/>
          <w:sz w:val="22"/>
          <w:szCs w:val="22"/>
        </w:rPr>
        <w:t xml:space="preserve">  5.3 Sensitivity Analysis</w:t>
      </w:r>
    </w:p>
    <w:p w:rsidR="00400BE1" w:rsidRDefault="003C067D">
      <w:pPr>
        <w:spacing w:after="80"/>
      </w:pPr>
      <w:r>
        <w:rPr>
          <w:b/>
          <w:bCs/>
          <w:color w:val="1A3A5C"/>
          <w:sz w:val="22"/>
          <w:szCs w:val="22"/>
        </w:rPr>
        <w:t>6. Discussion</w:t>
      </w:r>
    </w:p>
    <w:p w:rsidR="00400BE1" w:rsidRDefault="003C067D">
      <w:pPr>
        <w:spacing w:after="80"/>
      </w:pPr>
      <w:r>
        <w:rPr>
          <w:color w:val="333333"/>
          <w:sz w:val="22"/>
          <w:szCs w:val="22"/>
        </w:rPr>
        <w:t xml:space="preserve">  6.1 Physical Mechanisms</w:t>
      </w:r>
    </w:p>
    <w:p w:rsidR="00400BE1" w:rsidRDefault="003C067D">
      <w:pPr>
        <w:spacing w:after="80"/>
      </w:pPr>
      <w:r>
        <w:rPr>
          <w:color w:val="333333"/>
          <w:sz w:val="22"/>
          <w:szCs w:val="22"/>
        </w:rPr>
        <w:t xml:space="preserve">  6.2 Design Implications for F1 Front Wings</w:t>
      </w:r>
    </w:p>
    <w:p w:rsidR="00400BE1" w:rsidRDefault="003C067D">
      <w:pPr>
        <w:spacing w:after="80"/>
      </w:pPr>
      <w:r>
        <w:rPr>
          <w:color w:val="333333"/>
          <w:sz w:val="22"/>
          <w:szCs w:val="22"/>
        </w:rPr>
        <w:t xml:space="preserve">  6.3 Limi</w:t>
      </w:r>
      <w:r>
        <w:rPr>
          <w:color w:val="333333"/>
          <w:sz w:val="22"/>
          <w:szCs w:val="22"/>
        </w:rPr>
        <w:t>tations</w:t>
      </w:r>
    </w:p>
    <w:p w:rsidR="00400BE1" w:rsidRDefault="003C067D">
      <w:pPr>
        <w:spacing w:after="80"/>
      </w:pPr>
      <w:r>
        <w:rPr>
          <w:b/>
          <w:bCs/>
          <w:color w:val="1A3A5C"/>
          <w:sz w:val="22"/>
          <w:szCs w:val="22"/>
        </w:rPr>
        <w:t>7. Conclusions</w:t>
      </w:r>
    </w:p>
    <w:p w:rsidR="00400BE1" w:rsidRDefault="003C067D">
      <w:pPr>
        <w:spacing w:after="80"/>
      </w:pPr>
      <w:r>
        <w:rPr>
          <w:b/>
          <w:bCs/>
          <w:color w:val="1A3A5C"/>
          <w:sz w:val="22"/>
          <w:szCs w:val="22"/>
        </w:rPr>
        <w:t>8. References</w:t>
      </w:r>
    </w:p>
    <w:p w:rsidR="00400BE1" w:rsidRDefault="003C067D">
      <w:r>
        <w:br w:type="page"/>
      </w:r>
    </w:p>
    <w:p w:rsidR="00400BE1" w:rsidRDefault="003C067D">
      <w:pPr>
        <w:pStyle w:val="Heading1"/>
        <w:pBdr>
          <w:bottom w:val="single" w:sz="12" w:space="4" w:color="B8860B"/>
        </w:pBdr>
        <w:spacing w:before="400" w:after="200"/>
      </w:pPr>
      <w:r>
        <w:rPr>
          <w:b/>
          <w:bCs/>
          <w:color w:val="1A3A5C"/>
          <w:sz w:val="30"/>
          <w:szCs w:val="30"/>
        </w:rPr>
        <w:lastRenderedPageBreak/>
        <w:t>1. Introduction</w:t>
      </w:r>
    </w:p>
    <w:p w:rsidR="00400BE1" w:rsidRDefault="003C067D">
      <w:pPr>
        <w:pStyle w:val="Heading2"/>
        <w:spacing w:before="300" w:after="150"/>
      </w:pPr>
      <w:r>
        <w:rPr>
          <w:b/>
          <w:bCs/>
          <w:color w:val="1A3A5C"/>
          <w:sz w:val="24"/>
          <w:szCs w:val="24"/>
        </w:rPr>
        <w:t>1.1 Motivation</w:t>
      </w:r>
    </w:p>
    <w:p w:rsidR="00400BE1" w:rsidRDefault="003C067D">
      <w:pPr>
        <w:spacing w:after="160" w:line="276" w:lineRule="auto"/>
        <w:jc w:val="both"/>
      </w:pPr>
      <w:r>
        <w:rPr>
          <w:color w:val="333333"/>
          <w:sz w:val="22"/>
          <w:szCs w:val="22"/>
        </w:rPr>
        <w:t xml:space="preserve">Front wing aerodynamics is one of the most heavily developed areas of Formula 1 vehicle design, governing not only front-axle </w:t>
      </w:r>
      <w:proofErr w:type="spellStart"/>
      <w:r>
        <w:rPr>
          <w:color w:val="333333"/>
          <w:sz w:val="22"/>
          <w:szCs w:val="22"/>
        </w:rPr>
        <w:t>downforce</w:t>
      </w:r>
      <w:proofErr w:type="spellEnd"/>
      <w:r>
        <w:rPr>
          <w:color w:val="333333"/>
          <w:sz w:val="22"/>
          <w:szCs w:val="22"/>
        </w:rPr>
        <w:t xml:space="preserve"> but also the airflow quality delivered to the floo</w:t>
      </w:r>
      <w:r>
        <w:rPr>
          <w:color w:val="333333"/>
          <w:sz w:val="22"/>
          <w:szCs w:val="22"/>
        </w:rPr>
        <w:t xml:space="preserve">r, </w:t>
      </w:r>
      <w:proofErr w:type="spellStart"/>
      <w:r>
        <w:rPr>
          <w:color w:val="333333"/>
          <w:sz w:val="22"/>
          <w:szCs w:val="22"/>
        </w:rPr>
        <w:t>sidepods</w:t>
      </w:r>
      <w:proofErr w:type="spellEnd"/>
      <w:r>
        <w:rPr>
          <w:color w:val="333333"/>
          <w:sz w:val="22"/>
          <w:szCs w:val="22"/>
        </w:rPr>
        <w:t xml:space="preserve">, and rear of the car. A defining characteristic of front wing performance is ground effect: because the wing operates only </w:t>
      </w:r>
      <w:proofErr w:type="spellStart"/>
      <w:r>
        <w:rPr>
          <w:color w:val="333333"/>
          <w:sz w:val="22"/>
          <w:szCs w:val="22"/>
        </w:rPr>
        <w:t>millimetres</w:t>
      </w:r>
      <w:proofErr w:type="spellEnd"/>
      <w:r>
        <w:rPr>
          <w:color w:val="333333"/>
          <w:sz w:val="22"/>
          <w:szCs w:val="22"/>
        </w:rPr>
        <w:t xml:space="preserve"> above the track surface, its aerodynamic </w:t>
      </w:r>
      <w:proofErr w:type="spellStart"/>
      <w:r>
        <w:rPr>
          <w:color w:val="333333"/>
          <w:sz w:val="22"/>
          <w:szCs w:val="22"/>
        </w:rPr>
        <w:t>behaviour</w:t>
      </w:r>
      <w:proofErr w:type="spellEnd"/>
      <w:r>
        <w:rPr>
          <w:color w:val="333333"/>
          <w:sz w:val="22"/>
          <w:szCs w:val="22"/>
        </w:rPr>
        <w:t xml:space="preserve"> departs substantially from that of a wing in free air. Und</w:t>
      </w:r>
      <w:r>
        <w:rPr>
          <w:color w:val="333333"/>
          <w:sz w:val="22"/>
          <w:szCs w:val="22"/>
        </w:rPr>
        <w:t>erstanding this departure — both the underlying physical mechanism and its practical magnitude — is essential to interpreting why front wings are designed and set up the way they are.</w:t>
      </w:r>
    </w:p>
    <w:p w:rsidR="00400BE1" w:rsidRDefault="003C067D">
      <w:pPr>
        <w:spacing w:after="160" w:line="276" w:lineRule="auto"/>
        <w:jc w:val="both"/>
      </w:pPr>
      <w:r>
        <w:rPr>
          <w:color w:val="333333"/>
          <w:sz w:val="22"/>
          <w:szCs w:val="22"/>
        </w:rPr>
        <w:t xml:space="preserve">This study uses the NACA 6412 section, a moderately cambered </w:t>
      </w:r>
      <w:proofErr w:type="spellStart"/>
      <w:r>
        <w:rPr>
          <w:color w:val="333333"/>
          <w:sz w:val="22"/>
          <w:szCs w:val="22"/>
        </w:rPr>
        <w:t>aerofoil</w:t>
      </w:r>
      <w:proofErr w:type="spellEnd"/>
      <w:r>
        <w:rPr>
          <w:color w:val="333333"/>
          <w:sz w:val="22"/>
          <w:szCs w:val="22"/>
        </w:rPr>
        <w:t>, a</w:t>
      </w:r>
      <w:r>
        <w:rPr>
          <w:color w:val="333333"/>
          <w:sz w:val="22"/>
          <w:szCs w:val="22"/>
        </w:rPr>
        <w:t xml:space="preserve">s a representative candidate profile to investigate this </w:t>
      </w:r>
      <w:proofErr w:type="spellStart"/>
      <w:r>
        <w:rPr>
          <w:color w:val="333333"/>
          <w:sz w:val="22"/>
          <w:szCs w:val="22"/>
        </w:rPr>
        <w:t>behaviour</w:t>
      </w:r>
      <w:proofErr w:type="spellEnd"/>
      <w:r>
        <w:rPr>
          <w:color w:val="333333"/>
          <w:sz w:val="22"/>
          <w:szCs w:val="22"/>
        </w:rPr>
        <w:t xml:space="preserve"> using accessible panel and vortex-lattice methods in XFLR5, as a precursor to higher-fidelity CFD work planned later in this portfolio series.</w:t>
      </w:r>
    </w:p>
    <w:p w:rsidR="00400BE1" w:rsidRDefault="003C067D">
      <w:pPr>
        <w:pStyle w:val="Heading2"/>
        <w:spacing w:before="300" w:after="150"/>
      </w:pPr>
      <w:r>
        <w:rPr>
          <w:b/>
          <w:bCs/>
          <w:color w:val="1A3A5C"/>
          <w:sz w:val="24"/>
          <w:szCs w:val="24"/>
        </w:rPr>
        <w:t>1.2 Objectives</w:t>
      </w:r>
    </w:p>
    <w:p w:rsidR="00400BE1" w:rsidRDefault="003C067D">
      <w:pPr>
        <w:pStyle w:val="ListParagraph"/>
        <w:numPr>
          <w:ilvl w:val="0"/>
          <w:numId w:val="2"/>
        </w:numPr>
        <w:spacing w:after="100"/>
      </w:pPr>
      <w:proofErr w:type="spellStart"/>
      <w:r>
        <w:rPr>
          <w:color w:val="333333"/>
          <w:sz w:val="22"/>
          <w:szCs w:val="22"/>
        </w:rPr>
        <w:t>Characterise</w:t>
      </w:r>
      <w:proofErr w:type="spellEnd"/>
      <w:r>
        <w:rPr>
          <w:color w:val="333333"/>
          <w:sz w:val="22"/>
          <w:szCs w:val="22"/>
        </w:rPr>
        <w:t xml:space="preserve"> the 2D aerodynamic</w:t>
      </w:r>
      <w:r>
        <w:rPr>
          <w:color w:val="333333"/>
          <w:sz w:val="22"/>
          <w:szCs w:val="22"/>
        </w:rPr>
        <w:t xml:space="preserve"> performance of the NACA 6412 section across a wide angle of attack range at a representative Reynolds number.</w:t>
      </w:r>
    </w:p>
    <w:p w:rsidR="00400BE1" w:rsidRDefault="003C067D">
      <w:pPr>
        <w:pStyle w:val="ListParagraph"/>
        <w:numPr>
          <w:ilvl w:val="0"/>
          <w:numId w:val="2"/>
        </w:numPr>
        <w:spacing w:after="100"/>
      </w:pPr>
      <w:r>
        <w:rPr>
          <w:color w:val="333333"/>
          <w:sz w:val="22"/>
          <w:szCs w:val="22"/>
        </w:rPr>
        <w:t>Quantify how lift and drag coefficients change as a 3D wing built from this section approaches a ground plane, across a range of ground clearance</w:t>
      </w:r>
      <w:r>
        <w:rPr>
          <w:color w:val="333333"/>
          <w:sz w:val="22"/>
          <w:szCs w:val="22"/>
        </w:rPr>
        <w:t xml:space="preserve"> ratios (h/c).</w:t>
      </w:r>
    </w:p>
    <w:p w:rsidR="00400BE1" w:rsidRDefault="003C067D">
      <w:pPr>
        <w:pStyle w:val="ListParagraph"/>
        <w:numPr>
          <w:ilvl w:val="0"/>
          <w:numId w:val="2"/>
        </w:numPr>
        <w:spacing w:after="100"/>
      </w:pPr>
      <w:r>
        <w:rPr>
          <w:color w:val="333333"/>
          <w:sz w:val="22"/>
          <w:szCs w:val="22"/>
        </w:rPr>
        <w:t>Identify and explain the physical mechanisms responsible for the observed trends.</w:t>
      </w:r>
    </w:p>
    <w:p w:rsidR="00400BE1" w:rsidRDefault="003C067D">
      <w:pPr>
        <w:pStyle w:val="ListParagraph"/>
        <w:numPr>
          <w:ilvl w:val="0"/>
          <w:numId w:val="2"/>
        </w:numPr>
        <w:spacing w:after="100"/>
      </w:pPr>
      <w:r>
        <w:rPr>
          <w:color w:val="333333"/>
          <w:sz w:val="22"/>
          <w:szCs w:val="22"/>
        </w:rPr>
        <w:t>Establish a clean, reproducible, and honestly-scoped baseline dataset for future higher-fidelity validation.</w:t>
      </w:r>
    </w:p>
    <w:p w:rsidR="00400BE1" w:rsidRDefault="003C067D">
      <w:r>
        <w:br w:type="page"/>
      </w:r>
    </w:p>
    <w:p w:rsidR="00400BE1" w:rsidRDefault="003C067D">
      <w:pPr>
        <w:pStyle w:val="Heading1"/>
        <w:pBdr>
          <w:bottom w:val="single" w:sz="12" w:space="4" w:color="B8860B"/>
        </w:pBdr>
        <w:spacing w:before="400" w:after="200"/>
      </w:pPr>
      <w:r>
        <w:rPr>
          <w:b/>
          <w:bCs/>
          <w:color w:val="1A3A5C"/>
          <w:sz w:val="30"/>
          <w:szCs w:val="30"/>
        </w:rPr>
        <w:lastRenderedPageBreak/>
        <w:t>2. Methodology — Module 1: 2D Direct Foil Analysis</w:t>
      </w:r>
    </w:p>
    <w:p w:rsidR="00400BE1" w:rsidRDefault="003C067D">
      <w:pPr>
        <w:pStyle w:val="Heading2"/>
        <w:spacing w:before="300" w:after="150"/>
      </w:pPr>
      <w:r>
        <w:rPr>
          <w:b/>
          <w:bCs/>
          <w:color w:val="1A3A5C"/>
          <w:sz w:val="24"/>
          <w:szCs w:val="24"/>
        </w:rPr>
        <w:t xml:space="preserve">2.1 </w:t>
      </w:r>
      <w:proofErr w:type="spellStart"/>
      <w:r>
        <w:rPr>
          <w:b/>
          <w:bCs/>
          <w:color w:val="1A3A5C"/>
          <w:sz w:val="24"/>
          <w:szCs w:val="24"/>
        </w:rPr>
        <w:t>Aerofoil</w:t>
      </w:r>
      <w:proofErr w:type="spellEnd"/>
      <w:r>
        <w:rPr>
          <w:b/>
          <w:bCs/>
          <w:color w:val="1A3A5C"/>
          <w:sz w:val="24"/>
          <w:szCs w:val="24"/>
        </w:rPr>
        <w:t xml:space="preserve"> Geometry</w:t>
      </w:r>
    </w:p>
    <w:p w:rsidR="00400BE1" w:rsidRDefault="003C067D">
      <w:pPr>
        <w:spacing w:after="160" w:line="276" w:lineRule="auto"/>
        <w:jc w:val="both"/>
      </w:pPr>
      <w:r>
        <w:rPr>
          <w:color w:val="333333"/>
          <w:sz w:val="22"/>
          <w:szCs w:val="22"/>
        </w:rPr>
        <w:t xml:space="preserve">The NACA 6412 is a 4-digit series </w:t>
      </w:r>
      <w:proofErr w:type="spellStart"/>
      <w:r>
        <w:rPr>
          <w:color w:val="333333"/>
          <w:sz w:val="22"/>
          <w:szCs w:val="22"/>
        </w:rPr>
        <w:t>aerofoil</w:t>
      </w:r>
      <w:proofErr w:type="spellEnd"/>
      <w:r>
        <w:rPr>
          <w:color w:val="333333"/>
          <w:sz w:val="22"/>
          <w:szCs w:val="22"/>
        </w:rPr>
        <w:t xml:space="preserve"> with 6% maximum camber located at 40% chord, and 12% maximum thickness. The “6412” naming directly encodes this geometry, following the stan</w:t>
      </w:r>
      <w:r>
        <w:rPr>
          <w:color w:val="333333"/>
          <w:sz w:val="22"/>
          <w:szCs w:val="22"/>
        </w:rPr>
        <w:t xml:space="preserve">dard NACA 4-digit </w:t>
      </w:r>
      <w:proofErr w:type="spellStart"/>
      <w:r>
        <w:rPr>
          <w:color w:val="333333"/>
          <w:sz w:val="22"/>
          <w:szCs w:val="22"/>
        </w:rPr>
        <w:t>parametrisation</w:t>
      </w:r>
      <w:proofErr w:type="spellEnd"/>
      <w:r>
        <w:rPr>
          <w:color w:val="333333"/>
          <w:sz w:val="22"/>
          <w:szCs w:val="22"/>
        </w:rPr>
        <w:t>:</w:t>
      </w:r>
    </w:p>
    <w:p w:rsidR="00400BE1" w:rsidRDefault="003C067D">
      <w:pPr>
        <w:spacing w:before="160" w:after="160"/>
        <w:jc w:val="center"/>
      </w:pPr>
      <w:proofErr w:type="spellStart"/>
      <w:r>
        <w:rPr>
          <w:rFonts w:ascii="Cambria Math" w:eastAsia="Cambria Math" w:hAnsi="Cambria Math" w:cs="Cambria Math"/>
          <w:b/>
          <w:bCs/>
          <w:i/>
          <w:iCs/>
          <w:color w:val="1A3A5C"/>
          <w:sz w:val="24"/>
          <w:szCs w:val="24"/>
        </w:rPr>
        <w:t>y_c</w:t>
      </w:r>
      <w:proofErr w:type="spellEnd"/>
      <w:r>
        <w:rPr>
          <w:rFonts w:ascii="Cambria Math" w:eastAsia="Cambria Math" w:hAnsi="Cambria Math" w:cs="Cambria Math"/>
          <w:b/>
          <w:bCs/>
          <w:i/>
          <w:iCs/>
          <w:color w:val="1A3A5C"/>
          <w:sz w:val="24"/>
          <w:szCs w:val="24"/>
        </w:rPr>
        <w:t xml:space="preserve"> = (m/p²</w:t>
      </w:r>
      <w:proofErr w:type="gramStart"/>
      <w:r>
        <w:rPr>
          <w:rFonts w:ascii="Cambria Math" w:eastAsia="Cambria Math" w:hAnsi="Cambria Math" w:cs="Cambria Math"/>
          <w:b/>
          <w:bCs/>
          <w:i/>
          <w:iCs/>
          <w:color w:val="1A3A5C"/>
          <w:sz w:val="24"/>
          <w:szCs w:val="24"/>
        </w:rPr>
        <w:t>)(</w:t>
      </w:r>
      <w:proofErr w:type="gramEnd"/>
      <w:r>
        <w:rPr>
          <w:rFonts w:ascii="Cambria Math" w:eastAsia="Cambria Math" w:hAnsi="Cambria Math" w:cs="Cambria Math"/>
          <w:b/>
          <w:bCs/>
          <w:i/>
          <w:iCs/>
          <w:color w:val="1A3A5C"/>
          <w:sz w:val="24"/>
          <w:szCs w:val="24"/>
        </w:rPr>
        <w:t xml:space="preserve">2px − x²)   for x ≤ p     |     </w:t>
      </w:r>
      <w:proofErr w:type="spellStart"/>
      <w:r>
        <w:rPr>
          <w:rFonts w:ascii="Cambria Math" w:eastAsia="Cambria Math" w:hAnsi="Cambria Math" w:cs="Cambria Math"/>
          <w:b/>
          <w:bCs/>
          <w:i/>
          <w:iCs/>
          <w:color w:val="1A3A5C"/>
          <w:sz w:val="24"/>
          <w:szCs w:val="24"/>
        </w:rPr>
        <w:t>y_c</w:t>
      </w:r>
      <w:proofErr w:type="spellEnd"/>
      <w:r>
        <w:rPr>
          <w:rFonts w:ascii="Cambria Math" w:eastAsia="Cambria Math" w:hAnsi="Cambria Math" w:cs="Cambria Math"/>
          <w:b/>
          <w:bCs/>
          <w:i/>
          <w:iCs/>
          <w:color w:val="1A3A5C"/>
          <w:sz w:val="24"/>
          <w:szCs w:val="24"/>
        </w:rPr>
        <w:t xml:space="preserve"> = (m/(1−p)²)(1 − 2p + 2px − x²)   for x &gt; p</w:t>
      </w:r>
    </w:p>
    <w:p w:rsidR="00400BE1" w:rsidRDefault="003C067D">
      <w:pPr>
        <w:spacing w:after="160" w:line="276" w:lineRule="auto"/>
        <w:jc w:val="both"/>
        <w:rPr>
          <w:color w:val="333333"/>
          <w:sz w:val="22"/>
          <w:szCs w:val="22"/>
        </w:rPr>
      </w:pPr>
      <w:proofErr w:type="gramStart"/>
      <w:r>
        <w:rPr>
          <w:color w:val="333333"/>
          <w:sz w:val="22"/>
          <w:szCs w:val="22"/>
        </w:rPr>
        <w:t>where</w:t>
      </w:r>
      <w:proofErr w:type="gramEnd"/>
      <w:r>
        <w:rPr>
          <w:color w:val="333333"/>
          <w:sz w:val="22"/>
          <w:szCs w:val="22"/>
        </w:rPr>
        <w:t xml:space="preserve"> m = 0.06 (maximum camber), p = 0.4 (location of maximum camber), and thickness distribution follows the standard NACA thickness formula at 12% maximum thickness. The section geometry was generated within XFLR5's built-in NACA foil generator.</w:t>
      </w:r>
    </w:p>
    <w:p w:rsidR="00A50094" w:rsidRDefault="00A50094">
      <w:pPr>
        <w:spacing w:after="160" w:line="276" w:lineRule="auto"/>
        <w:jc w:val="both"/>
      </w:pPr>
      <w:r>
        <w:rPr>
          <w:noProof/>
        </w:rPr>
        <w:drawing>
          <wp:anchor distT="0" distB="0" distL="114300" distR="114300" simplePos="0" relativeHeight="251658240" behindDoc="0" locked="0" layoutInCell="1" allowOverlap="1" wp14:anchorId="62D7A2E4" wp14:editId="0590F021">
            <wp:simplePos x="0" y="0"/>
            <wp:positionH relativeFrom="margin">
              <wp:align>center</wp:align>
            </wp:positionH>
            <wp:positionV relativeFrom="margin">
              <wp:posOffset>2466208</wp:posOffset>
            </wp:positionV>
            <wp:extent cx="5092065" cy="1580515"/>
            <wp:effectExtent l="0" t="0" r="0" b="63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aca641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92065" cy="1580515"/>
                    </a:xfrm>
                    <a:prstGeom prst="rect">
                      <a:avLst/>
                    </a:prstGeom>
                  </pic:spPr>
                </pic:pic>
              </a:graphicData>
            </a:graphic>
            <wp14:sizeRelH relativeFrom="margin">
              <wp14:pctWidth>0</wp14:pctWidth>
            </wp14:sizeRelH>
            <wp14:sizeRelV relativeFrom="margin">
              <wp14:pctHeight>0</wp14:pctHeight>
            </wp14:sizeRelV>
          </wp:anchor>
        </w:drawing>
      </w:r>
    </w:p>
    <w:p w:rsidR="00A50094" w:rsidRDefault="00A50094">
      <w:pPr>
        <w:pStyle w:val="Heading2"/>
        <w:spacing w:before="300" w:after="150"/>
        <w:rPr>
          <w:b/>
          <w:bCs/>
          <w:color w:val="1A3A5C"/>
          <w:sz w:val="24"/>
          <w:szCs w:val="24"/>
        </w:rPr>
      </w:pPr>
    </w:p>
    <w:p w:rsidR="00A50094" w:rsidRDefault="00A50094">
      <w:pPr>
        <w:pStyle w:val="Heading2"/>
        <w:spacing w:before="300" w:after="150"/>
        <w:rPr>
          <w:b/>
          <w:bCs/>
          <w:color w:val="1A3A5C"/>
          <w:sz w:val="24"/>
          <w:szCs w:val="24"/>
        </w:rPr>
      </w:pPr>
    </w:p>
    <w:p w:rsidR="00A50094" w:rsidRDefault="00A50094">
      <w:pPr>
        <w:pStyle w:val="Heading2"/>
        <w:spacing w:before="300" w:after="150"/>
        <w:rPr>
          <w:b/>
          <w:bCs/>
          <w:color w:val="1A3A5C"/>
          <w:sz w:val="24"/>
          <w:szCs w:val="24"/>
        </w:rPr>
      </w:pPr>
    </w:p>
    <w:p w:rsidR="00A50094" w:rsidRDefault="00A50094" w:rsidP="00A50094">
      <w:pPr>
        <w:pStyle w:val="Heading2"/>
        <w:spacing w:before="300" w:after="150"/>
        <w:rPr>
          <w:b/>
          <w:bCs/>
          <w:color w:val="1A3A5C"/>
          <w:sz w:val="24"/>
          <w:szCs w:val="24"/>
        </w:rPr>
      </w:pPr>
    </w:p>
    <w:p w:rsidR="00A50094" w:rsidRPr="00A50094" w:rsidRDefault="00A50094" w:rsidP="00A50094">
      <w:pPr>
        <w:pStyle w:val="Heading2"/>
        <w:spacing w:before="300" w:after="150"/>
        <w:jc w:val="center"/>
        <w:rPr>
          <w:b/>
          <w:bCs/>
          <w:color w:val="1A3A5C"/>
          <w:sz w:val="22"/>
          <w:szCs w:val="22"/>
        </w:rPr>
      </w:pPr>
      <w:r w:rsidRPr="00A50094">
        <w:rPr>
          <w:i/>
          <w:sz w:val="22"/>
          <w:szCs w:val="22"/>
        </w:rPr>
        <w:t xml:space="preserve">NACA 6412 </w:t>
      </w:r>
      <w:proofErr w:type="spellStart"/>
      <w:r w:rsidRPr="00A50094">
        <w:rPr>
          <w:i/>
          <w:sz w:val="22"/>
          <w:szCs w:val="22"/>
        </w:rPr>
        <w:t>aerofoil</w:t>
      </w:r>
      <w:proofErr w:type="spellEnd"/>
      <w:r w:rsidRPr="00A50094">
        <w:rPr>
          <w:i/>
          <w:sz w:val="22"/>
          <w:szCs w:val="22"/>
        </w:rPr>
        <w:t xml:space="preserve"> profile — 6% maximum camber at 40% chord, 12% maximum thickness</w:t>
      </w:r>
      <w:r w:rsidRPr="00A50094">
        <w:rPr>
          <w:sz w:val="22"/>
          <w:szCs w:val="22"/>
        </w:rPr>
        <w:t>.</w:t>
      </w:r>
    </w:p>
    <w:p w:rsidR="00400BE1" w:rsidRDefault="003C067D">
      <w:pPr>
        <w:pStyle w:val="Heading2"/>
        <w:spacing w:before="300" w:after="150"/>
      </w:pPr>
      <w:r>
        <w:rPr>
          <w:b/>
          <w:bCs/>
          <w:color w:val="1A3A5C"/>
          <w:sz w:val="24"/>
          <w:szCs w:val="24"/>
        </w:rPr>
        <w:t>2.2 Solv</w:t>
      </w:r>
      <w:r>
        <w:rPr>
          <w:b/>
          <w:bCs/>
          <w:color w:val="1A3A5C"/>
          <w:sz w:val="24"/>
          <w:szCs w:val="24"/>
        </w:rPr>
        <w:t>er Configuration</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00BE1">
        <w:tblPrEx>
          <w:tblCellMar>
            <w:top w:w="0" w:type="dxa"/>
            <w:bottom w:w="0" w:type="dxa"/>
          </w:tblCellMar>
        </w:tblPrEx>
        <w:tc>
          <w:tcPr>
            <w:tcW w:w="4500" w:type="dxa"/>
            <w:shd w:val="clear" w:color="auto" w:fill="1A3A5C"/>
            <w:tcMar>
              <w:top w:w="80" w:type="dxa"/>
              <w:left w:w="100" w:type="dxa"/>
              <w:bottom w:w="80" w:type="dxa"/>
              <w:right w:w="100" w:type="dxa"/>
            </w:tcMar>
            <w:vAlign w:val="center"/>
          </w:tcPr>
          <w:p w:rsidR="00400BE1" w:rsidRDefault="003C067D">
            <w:pPr>
              <w:jc w:val="center"/>
            </w:pPr>
            <w:r>
              <w:rPr>
                <w:b/>
                <w:bCs/>
                <w:color w:val="FFFFFF"/>
              </w:rPr>
              <w:t>Parameter</w:t>
            </w:r>
          </w:p>
        </w:tc>
        <w:tc>
          <w:tcPr>
            <w:tcW w:w="4500" w:type="dxa"/>
            <w:shd w:val="clear" w:color="auto" w:fill="1A3A5C"/>
            <w:tcMar>
              <w:top w:w="80" w:type="dxa"/>
              <w:left w:w="100" w:type="dxa"/>
              <w:bottom w:w="80" w:type="dxa"/>
              <w:right w:w="100" w:type="dxa"/>
            </w:tcMar>
            <w:vAlign w:val="center"/>
          </w:tcPr>
          <w:p w:rsidR="00400BE1" w:rsidRDefault="003C067D">
            <w:pPr>
              <w:jc w:val="center"/>
            </w:pPr>
            <w:r>
              <w:rPr>
                <w:b/>
                <w:bCs/>
                <w:color w:val="FFFFFF"/>
              </w:rPr>
              <w:t>Value</w:t>
            </w:r>
          </w:p>
        </w:tc>
      </w:tr>
      <w:tr w:rsidR="00400BE1">
        <w:tblPrEx>
          <w:tblCellMar>
            <w:top w:w="0" w:type="dxa"/>
            <w:bottom w:w="0" w:type="dxa"/>
          </w:tblCellMar>
        </w:tblPrEx>
        <w:tc>
          <w:tcPr>
            <w:tcW w:w="4500" w:type="dxa"/>
            <w:tcMar>
              <w:top w:w="80" w:type="dxa"/>
              <w:left w:w="100" w:type="dxa"/>
              <w:bottom w:w="80" w:type="dxa"/>
              <w:right w:w="100" w:type="dxa"/>
            </w:tcMar>
            <w:vAlign w:val="center"/>
          </w:tcPr>
          <w:p w:rsidR="00400BE1" w:rsidRDefault="003C067D">
            <w:pPr>
              <w:jc w:val="center"/>
            </w:pPr>
            <w:r>
              <w:rPr>
                <w:color w:val="333333"/>
              </w:rPr>
              <w:t>Solver</w:t>
            </w:r>
          </w:p>
        </w:tc>
        <w:tc>
          <w:tcPr>
            <w:tcW w:w="4500" w:type="dxa"/>
            <w:tcMar>
              <w:top w:w="80" w:type="dxa"/>
              <w:left w:w="100" w:type="dxa"/>
              <w:bottom w:w="80" w:type="dxa"/>
              <w:right w:w="100" w:type="dxa"/>
            </w:tcMar>
            <w:vAlign w:val="center"/>
          </w:tcPr>
          <w:p w:rsidR="00400BE1" w:rsidRDefault="003C067D">
            <w:pPr>
              <w:jc w:val="center"/>
            </w:pPr>
            <w:proofErr w:type="spellStart"/>
            <w:r>
              <w:rPr>
                <w:color w:val="333333"/>
              </w:rPr>
              <w:t>XFoil</w:t>
            </w:r>
            <w:proofErr w:type="spellEnd"/>
            <w:r>
              <w:rPr>
                <w:color w:val="333333"/>
              </w:rPr>
              <w:t xml:space="preserve"> (Direct Foil Design/Analysis module)</w:t>
            </w:r>
          </w:p>
        </w:tc>
      </w:tr>
      <w:tr w:rsidR="00400BE1">
        <w:tblPrEx>
          <w:tblCellMar>
            <w:top w:w="0" w:type="dxa"/>
            <w:bottom w:w="0" w:type="dxa"/>
          </w:tblCellMar>
        </w:tblPrEx>
        <w:tc>
          <w:tcPr>
            <w:tcW w:w="4500" w:type="dxa"/>
            <w:shd w:val="clear" w:color="auto" w:fill="FBF3E0"/>
            <w:tcMar>
              <w:top w:w="80" w:type="dxa"/>
              <w:left w:w="100" w:type="dxa"/>
              <w:bottom w:w="80" w:type="dxa"/>
              <w:right w:w="100" w:type="dxa"/>
            </w:tcMar>
            <w:vAlign w:val="center"/>
          </w:tcPr>
          <w:p w:rsidR="00400BE1" w:rsidRDefault="003C067D">
            <w:pPr>
              <w:jc w:val="center"/>
            </w:pPr>
            <w:r>
              <w:rPr>
                <w:color w:val="333333"/>
              </w:rPr>
              <w:t>Analysis type</w:t>
            </w:r>
          </w:p>
        </w:tc>
        <w:tc>
          <w:tcPr>
            <w:tcW w:w="4500" w:type="dxa"/>
            <w:shd w:val="clear" w:color="auto" w:fill="FBF3E0"/>
            <w:tcMar>
              <w:top w:w="80" w:type="dxa"/>
              <w:left w:w="100" w:type="dxa"/>
              <w:bottom w:w="80" w:type="dxa"/>
              <w:right w:w="100" w:type="dxa"/>
            </w:tcMar>
            <w:vAlign w:val="center"/>
          </w:tcPr>
          <w:p w:rsidR="00400BE1" w:rsidRDefault="003C067D">
            <w:pPr>
              <w:jc w:val="center"/>
            </w:pPr>
            <w:r>
              <w:rPr>
                <w:color w:val="333333"/>
              </w:rPr>
              <w:t>Type 1 — Fixed Reynolds number polar</w:t>
            </w:r>
          </w:p>
        </w:tc>
      </w:tr>
      <w:tr w:rsidR="00400BE1">
        <w:tblPrEx>
          <w:tblCellMar>
            <w:top w:w="0" w:type="dxa"/>
            <w:bottom w:w="0" w:type="dxa"/>
          </w:tblCellMar>
        </w:tblPrEx>
        <w:tc>
          <w:tcPr>
            <w:tcW w:w="4500" w:type="dxa"/>
            <w:tcMar>
              <w:top w:w="80" w:type="dxa"/>
              <w:left w:w="100" w:type="dxa"/>
              <w:bottom w:w="80" w:type="dxa"/>
              <w:right w:w="100" w:type="dxa"/>
            </w:tcMar>
            <w:vAlign w:val="center"/>
          </w:tcPr>
          <w:p w:rsidR="00400BE1" w:rsidRDefault="003C067D">
            <w:pPr>
              <w:jc w:val="center"/>
            </w:pPr>
            <w:r>
              <w:rPr>
                <w:color w:val="333333"/>
              </w:rPr>
              <w:t>Reynolds number</w:t>
            </w:r>
          </w:p>
        </w:tc>
        <w:tc>
          <w:tcPr>
            <w:tcW w:w="4500" w:type="dxa"/>
            <w:tcMar>
              <w:top w:w="80" w:type="dxa"/>
              <w:left w:w="100" w:type="dxa"/>
              <w:bottom w:w="80" w:type="dxa"/>
              <w:right w:w="100" w:type="dxa"/>
            </w:tcMar>
            <w:vAlign w:val="center"/>
          </w:tcPr>
          <w:p w:rsidR="00400BE1" w:rsidRDefault="003C067D">
            <w:pPr>
              <w:jc w:val="center"/>
            </w:pPr>
            <w:r>
              <w:rPr>
                <w:color w:val="333333"/>
              </w:rPr>
              <w:t>1,000,000</w:t>
            </w:r>
          </w:p>
        </w:tc>
      </w:tr>
      <w:tr w:rsidR="00400BE1">
        <w:tblPrEx>
          <w:tblCellMar>
            <w:top w:w="0" w:type="dxa"/>
            <w:bottom w:w="0" w:type="dxa"/>
          </w:tblCellMar>
        </w:tblPrEx>
        <w:tc>
          <w:tcPr>
            <w:tcW w:w="4500" w:type="dxa"/>
            <w:shd w:val="clear" w:color="auto" w:fill="FBF3E0"/>
            <w:tcMar>
              <w:top w:w="80" w:type="dxa"/>
              <w:left w:w="100" w:type="dxa"/>
              <w:bottom w:w="80" w:type="dxa"/>
              <w:right w:w="100" w:type="dxa"/>
            </w:tcMar>
            <w:vAlign w:val="center"/>
          </w:tcPr>
          <w:p w:rsidR="00400BE1" w:rsidRDefault="003C067D">
            <w:pPr>
              <w:jc w:val="center"/>
            </w:pPr>
            <w:r>
              <w:rPr>
                <w:color w:val="333333"/>
              </w:rPr>
              <w:t>Mach number</w:t>
            </w:r>
          </w:p>
        </w:tc>
        <w:tc>
          <w:tcPr>
            <w:tcW w:w="4500" w:type="dxa"/>
            <w:shd w:val="clear" w:color="auto" w:fill="FBF3E0"/>
            <w:tcMar>
              <w:top w:w="80" w:type="dxa"/>
              <w:left w:w="100" w:type="dxa"/>
              <w:bottom w:w="80" w:type="dxa"/>
              <w:right w:w="100" w:type="dxa"/>
            </w:tcMar>
            <w:vAlign w:val="center"/>
          </w:tcPr>
          <w:p w:rsidR="00400BE1" w:rsidRDefault="003C067D">
            <w:pPr>
              <w:jc w:val="center"/>
            </w:pPr>
            <w:r>
              <w:rPr>
                <w:color w:val="333333"/>
              </w:rPr>
              <w:t>0.000 (incompressible)</w:t>
            </w:r>
          </w:p>
        </w:tc>
      </w:tr>
      <w:tr w:rsidR="00400BE1">
        <w:tblPrEx>
          <w:tblCellMar>
            <w:top w:w="0" w:type="dxa"/>
            <w:bottom w:w="0" w:type="dxa"/>
          </w:tblCellMar>
        </w:tblPrEx>
        <w:tc>
          <w:tcPr>
            <w:tcW w:w="4500" w:type="dxa"/>
            <w:tcMar>
              <w:top w:w="80" w:type="dxa"/>
              <w:left w:w="100" w:type="dxa"/>
              <w:bottom w:w="80" w:type="dxa"/>
              <w:right w:w="100" w:type="dxa"/>
            </w:tcMar>
            <w:vAlign w:val="center"/>
          </w:tcPr>
          <w:p w:rsidR="00400BE1" w:rsidRDefault="003C067D">
            <w:pPr>
              <w:jc w:val="center"/>
            </w:pPr>
            <w:r>
              <w:rPr>
                <w:color w:val="333333"/>
              </w:rPr>
              <w:t>Transition criterion (</w:t>
            </w:r>
            <w:proofErr w:type="spellStart"/>
            <w:r>
              <w:rPr>
                <w:color w:val="333333"/>
              </w:rPr>
              <w:t>Ncrit</w:t>
            </w:r>
            <w:proofErr w:type="spellEnd"/>
            <w:r>
              <w:rPr>
                <w:color w:val="333333"/>
              </w:rPr>
              <w:t>)</w:t>
            </w:r>
          </w:p>
        </w:tc>
        <w:tc>
          <w:tcPr>
            <w:tcW w:w="4500" w:type="dxa"/>
            <w:tcMar>
              <w:top w:w="80" w:type="dxa"/>
              <w:left w:w="100" w:type="dxa"/>
              <w:bottom w:w="80" w:type="dxa"/>
              <w:right w:w="100" w:type="dxa"/>
            </w:tcMar>
            <w:vAlign w:val="center"/>
          </w:tcPr>
          <w:p w:rsidR="00400BE1" w:rsidRDefault="003C067D">
            <w:pPr>
              <w:jc w:val="center"/>
            </w:pPr>
            <w:r>
              <w:rPr>
                <w:color w:val="333333"/>
              </w:rPr>
              <w:t>9.0 (standard free-stream turbulence assumption)</w:t>
            </w:r>
          </w:p>
        </w:tc>
      </w:tr>
      <w:tr w:rsidR="00400BE1">
        <w:tblPrEx>
          <w:tblCellMar>
            <w:top w:w="0" w:type="dxa"/>
            <w:bottom w:w="0" w:type="dxa"/>
          </w:tblCellMar>
        </w:tblPrEx>
        <w:tc>
          <w:tcPr>
            <w:tcW w:w="4500" w:type="dxa"/>
            <w:shd w:val="clear" w:color="auto" w:fill="FBF3E0"/>
            <w:tcMar>
              <w:top w:w="80" w:type="dxa"/>
              <w:left w:w="100" w:type="dxa"/>
              <w:bottom w:w="80" w:type="dxa"/>
              <w:right w:w="100" w:type="dxa"/>
            </w:tcMar>
            <w:vAlign w:val="center"/>
          </w:tcPr>
          <w:p w:rsidR="00400BE1" w:rsidRDefault="003C067D">
            <w:pPr>
              <w:jc w:val="center"/>
            </w:pPr>
            <w:r>
              <w:rPr>
                <w:color w:val="333333"/>
              </w:rPr>
              <w:t>Transition points (</w:t>
            </w:r>
            <w:proofErr w:type="spellStart"/>
            <w:r>
              <w:rPr>
                <w:color w:val="333333"/>
              </w:rPr>
              <w:t>xtrf</w:t>
            </w:r>
            <w:proofErr w:type="spellEnd"/>
            <w:r>
              <w:rPr>
                <w:color w:val="333333"/>
              </w:rPr>
              <w:t>)</w:t>
            </w:r>
          </w:p>
        </w:tc>
        <w:tc>
          <w:tcPr>
            <w:tcW w:w="4500" w:type="dxa"/>
            <w:shd w:val="clear" w:color="auto" w:fill="FBF3E0"/>
            <w:tcMar>
              <w:top w:w="80" w:type="dxa"/>
              <w:left w:w="100" w:type="dxa"/>
              <w:bottom w:w="80" w:type="dxa"/>
              <w:right w:w="100" w:type="dxa"/>
            </w:tcMar>
            <w:vAlign w:val="center"/>
          </w:tcPr>
          <w:p w:rsidR="00400BE1" w:rsidRDefault="003C067D">
            <w:pPr>
              <w:jc w:val="center"/>
            </w:pPr>
            <w:r>
              <w:rPr>
                <w:color w:val="333333"/>
              </w:rPr>
              <w:t>1.000 top, 1.000 bottom (free transition)</w:t>
            </w:r>
          </w:p>
        </w:tc>
      </w:tr>
      <w:tr w:rsidR="00400BE1">
        <w:tblPrEx>
          <w:tblCellMar>
            <w:top w:w="0" w:type="dxa"/>
            <w:bottom w:w="0" w:type="dxa"/>
          </w:tblCellMar>
        </w:tblPrEx>
        <w:tc>
          <w:tcPr>
            <w:tcW w:w="4500" w:type="dxa"/>
            <w:tcMar>
              <w:top w:w="80" w:type="dxa"/>
              <w:left w:w="100" w:type="dxa"/>
              <w:bottom w:w="80" w:type="dxa"/>
              <w:right w:w="100" w:type="dxa"/>
            </w:tcMar>
            <w:vAlign w:val="center"/>
          </w:tcPr>
          <w:p w:rsidR="00400BE1" w:rsidRDefault="003C067D">
            <w:pPr>
              <w:jc w:val="center"/>
            </w:pPr>
            <w:r>
              <w:rPr>
                <w:color w:val="333333"/>
              </w:rPr>
              <w:t>Angle of attack range</w:t>
            </w:r>
          </w:p>
        </w:tc>
        <w:tc>
          <w:tcPr>
            <w:tcW w:w="4500" w:type="dxa"/>
            <w:tcMar>
              <w:top w:w="80" w:type="dxa"/>
              <w:left w:w="100" w:type="dxa"/>
              <w:bottom w:w="80" w:type="dxa"/>
              <w:right w:w="100" w:type="dxa"/>
            </w:tcMar>
            <w:vAlign w:val="center"/>
          </w:tcPr>
          <w:p w:rsidR="00400BE1" w:rsidRDefault="003C067D">
            <w:pPr>
              <w:jc w:val="center"/>
            </w:pPr>
            <w:r>
              <w:rPr>
                <w:color w:val="333333"/>
              </w:rPr>
              <w:t>−5.0° to 18.0°</w:t>
            </w:r>
          </w:p>
        </w:tc>
      </w:tr>
      <w:tr w:rsidR="00400BE1">
        <w:tblPrEx>
          <w:tblCellMar>
            <w:top w:w="0" w:type="dxa"/>
            <w:bottom w:w="0" w:type="dxa"/>
          </w:tblCellMar>
        </w:tblPrEx>
        <w:tc>
          <w:tcPr>
            <w:tcW w:w="4500" w:type="dxa"/>
            <w:shd w:val="clear" w:color="auto" w:fill="FBF3E0"/>
            <w:tcMar>
              <w:top w:w="80" w:type="dxa"/>
              <w:left w:w="100" w:type="dxa"/>
              <w:bottom w:w="80" w:type="dxa"/>
              <w:right w:w="100" w:type="dxa"/>
            </w:tcMar>
            <w:vAlign w:val="center"/>
          </w:tcPr>
          <w:p w:rsidR="00400BE1" w:rsidRDefault="003C067D">
            <w:pPr>
              <w:jc w:val="center"/>
            </w:pPr>
            <w:r>
              <w:rPr>
                <w:color w:val="333333"/>
              </w:rPr>
              <w:t>Polar identifier</w:t>
            </w:r>
          </w:p>
        </w:tc>
        <w:tc>
          <w:tcPr>
            <w:tcW w:w="4500" w:type="dxa"/>
            <w:shd w:val="clear" w:color="auto" w:fill="FBF3E0"/>
            <w:tcMar>
              <w:top w:w="80" w:type="dxa"/>
              <w:left w:w="100" w:type="dxa"/>
              <w:bottom w:w="80" w:type="dxa"/>
              <w:right w:w="100" w:type="dxa"/>
            </w:tcMar>
            <w:vAlign w:val="center"/>
          </w:tcPr>
          <w:p w:rsidR="00400BE1" w:rsidRDefault="003C067D">
            <w:pPr>
              <w:jc w:val="center"/>
            </w:pPr>
            <w:r>
              <w:rPr>
                <w:color w:val="333333"/>
              </w:rPr>
              <w:t>T1_Re1.000_M0.00_N9.0</w:t>
            </w:r>
          </w:p>
        </w:tc>
      </w:tr>
    </w:tbl>
    <w:p w:rsidR="00400BE1" w:rsidRDefault="003C067D">
      <w:r>
        <w:br w:type="page"/>
      </w:r>
    </w:p>
    <w:p w:rsidR="00400BE1" w:rsidRDefault="003C067D">
      <w:pPr>
        <w:pStyle w:val="Heading1"/>
        <w:pBdr>
          <w:bottom w:val="single" w:sz="12" w:space="4" w:color="B8860B"/>
        </w:pBdr>
        <w:spacing w:before="400" w:after="200"/>
      </w:pPr>
      <w:r>
        <w:rPr>
          <w:b/>
          <w:bCs/>
          <w:color w:val="1A3A5C"/>
          <w:sz w:val="30"/>
          <w:szCs w:val="30"/>
        </w:rPr>
        <w:lastRenderedPageBreak/>
        <w:t>3. Methodology — Module 2: 3D Ground Effect Study</w:t>
      </w:r>
    </w:p>
    <w:p w:rsidR="00400BE1" w:rsidRDefault="003C067D">
      <w:pPr>
        <w:pStyle w:val="Heading2"/>
        <w:spacing w:before="300" w:after="150"/>
      </w:pPr>
      <w:r>
        <w:rPr>
          <w:b/>
          <w:bCs/>
          <w:color w:val="1A3A5C"/>
          <w:sz w:val="24"/>
          <w:szCs w:val="24"/>
        </w:rPr>
        <w:t>3.1 Wing Geometry</w:t>
      </w:r>
    </w:p>
    <w:p w:rsidR="00400BE1" w:rsidRDefault="003C067D">
      <w:pPr>
        <w:spacing w:after="160" w:line="276" w:lineRule="auto"/>
        <w:jc w:val="both"/>
        <w:rPr>
          <w:color w:val="333333"/>
          <w:sz w:val="22"/>
          <w:szCs w:val="22"/>
        </w:rPr>
      </w:pPr>
      <w:r>
        <w:rPr>
          <w:color w:val="333333"/>
          <w:sz w:val="22"/>
          <w:szCs w:val="22"/>
        </w:rPr>
        <w:t xml:space="preserve">A single-element wing, named naca6412_frontwing within XFLR5, was constructed using the NACA 6412 section as its constant </w:t>
      </w:r>
      <w:proofErr w:type="spellStart"/>
      <w:r>
        <w:rPr>
          <w:color w:val="333333"/>
          <w:sz w:val="22"/>
          <w:szCs w:val="22"/>
        </w:rPr>
        <w:t>spanwise</w:t>
      </w:r>
      <w:proofErr w:type="spellEnd"/>
      <w:r>
        <w:rPr>
          <w:color w:val="333333"/>
          <w:sz w:val="22"/>
          <w:szCs w:val="22"/>
        </w:rPr>
        <w:t xml:space="preserve"> profile. The wing was </w:t>
      </w:r>
      <w:proofErr w:type="spellStart"/>
      <w:r>
        <w:rPr>
          <w:color w:val="333333"/>
          <w:sz w:val="22"/>
          <w:szCs w:val="22"/>
        </w:rPr>
        <w:t>analysed</w:t>
      </w:r>
      <w:proofErr w:type="spellEnd"/>
      <w:r>
        <w:rPr>
          <w:color w:val="333333"/>
          <w:sz w:val="22"/>
          <w:szCs w:val="22"/>
        </w:rPr>
        <w:t xml:space="preserve"> at a fixed geometric angle of attack of 5° for all ground clearance cases, i</w:t>
      </w:r>
      <w:r>
        <w:rPr>
          <w:color w:val="333333"/>
          <w:sz w:val="22"/>
          <w:szCs w:val="22"/>
        </w:rPr>
        <w:t>solating ground clearance as the sole independent variable.</w:t>
      </w:r>
    </w:p>
    <w:p w:rsidR="00A50094" w:rsidRDefault="000C671E">
      <w:pPr>
        <w:spacing w:after="160" w:line="276" w:lineRule="auto"/>
        <w:jc w:val="both"/>
      </w:pPr>
      <w:r>
        <w:rPr>
          <w:noProof/>
        </w:rPr>
        <w:drawing>
          <wp:anchor distT="0" distB="0" distL="114300" distR="114300" simplePos="0" relativeHeight="251659264" behindDoc="0" locked="0" layoutInCell="1" allowOverlap="1" wp14:anchorId="7D4FA83C" wp14:editId="73F60699">
            <wp:simplePos x="0" y="0"/>
            <wp:positionH relativeFrom="margin">
              <wp:align>center</wp:align>
            </wp:positionH>
            <wp:positionV relativeFrom="margin">
              <wp:posOffset>1419225</wp:posOffset>
            </wp:positionV>
            <wp:extent cx="5200650" cy="2697480"/>
            <wp:effectExtent l="0" t="0" r="0" b="762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aca6412_3d.png"/>
                    <pic:cNvPicPr/>
                  </pic:nvPicPr>
                  <pic:blipFill rotWithShape="1">
                    <a:blip r:embed="rId8">
                      <a:extLst>
                        <a:ext uri="{28A0092B-C50C-407E-A947-70E740481C1C}">
                          <a14:useLocalDpi xmlns:a14="http://schemas.microsoft.com/office/drawing/2010/main" val="0"/>
                        </a:ext>
                      </a:extLst>
                    </a:blip>
                    <a:srcRect t="11510" b="31170"/>
                    <a:stretch/>
                  </pic:blipFill>
                  <pic:spPr bwMode="auto">
                    <a:xfrm>
                      <a:off x="0" y="0"/>
                      <a:ext cx="5200650" cy="2697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50094" w:rsidRDefault="00A50094">
      <w:pPr>
        <w:pStyle w:val="Heading2"/>
        <w:spacing w:before="300" w:after="150"/>
        <w:rPr>
          <w:b/>
          <w:bCs/>
          <w:color w:val="1A3A5C"/>
          <w:sz w:val="24"/>
          <w:szCs w:val="24"/>
        </w:rPr>
      </w:pPr>
    </w:p>
    <w:p w:rsidR="00A50094" w:rsidRDefault="00A50094">
      <w:pPr>
        <w:pStyle w:val="Heading2"/>
        <w:spacing w:before="300" w:after="150"/>
        <w:rPr>
          <w:b/>
          <w:bCs/>
          <w:color w:val="1A3A5C"/>
          <w:sz w:val="24"/>
          <w:szCs w:val="24"/>
        </w:rPr>
      </w:pPr>
    </w:p>
    <w:p w:rsidR="00A50094" w:rsidRDefault="00A50094">
      <w:pPr>
        <w:pStyle w:val="Heading2"/>
        <w:spacing w:before="300" w:after="150"/>
        <w:rPr>
          <w:b/>
          <w:bCs/>
          <w:color w:val="1A3A5C"/>
          <w:sz w:val="24"/>
          <w:szCs w:val="24"/>
        </w:rPr>
      </w:pPr>
    </w:p>
    <w:p w:rsidR="00A50094" w:rsidRDefault="00A50094">
      <w:pPr>
        <w:pStyle w:val="Heading2"/>
        <w:spacing w:before="300" w:after="150"/>
        <w:rPr>
          <w:b/>
          <w:bCs/>
          <w:color w:val="1A3A5C"/>
          <w:sz w:val="24"/>
          <w:szCs w:val="24"/>
        </w:rPr>
      </w:pPr>
    </w:p>
    <w:p w:rsidR="00A50094" w:rsidRDefault="00A50094" w:rsidP="00A50094">
      <w:pPr>
        <w:pStyle w:val="Heading2"/>
        <w:spacing w:before="300" w:after="150"/>
        <w:jc w:val="center"/>
        <w:rPr>
          <w:b/>
          <w:bCs/>
          <w:color w:val="1A3A5C"/>
          <w:sz w:val="24"/>
          <w:szCs w:val="24"/>
        </w:rPr>
      </w:pPr>
    </w:p>
    <w:p w:rsidR="000C671E" w:rsidRDefault="000C671E" w:rsidP="00A50094">
      <w:pPr>
        <w:pStyle w:val="Heading2"/>
        <w:spacing w:before="300" w:after="150"/>
        <w:jc w:val="center"/>
        <w:rPr>
          <w:i/>
          <w:sz w:val="22"/>
        </w:rPr>
      </w:pPr>
    </w:p>
    <w:p w:rsidR="000C671E" w:rsidRDefault="000C671E" w:rsidP="00A50094">
      <w:pPr>
        <w:pStyle w:val="Heading2"/>
        <w:spacing w:before="300" w:after="150"/>
        <w:jc w:val="center"/>
        <w:rPr>
          <w:i/>
          <w:sz w:val="22"/>
        </w:rPr>
      </w:pPr>
    </w:p>
    <w:p w:rsidR="00A50094" w:rsidRPr="00A50094" w:rsidRDefault="00A50094" w:rsidP="00A50094">
      <w:pPr>
        <w:pStyle w:val="Heading2"/>
        <w:spacing w:before="300" w:after="150"/>
        <w:jc w:val="center"/>
        <w:rPr>
          <w:b/>
          <w:bCs/>
          <w:i/>
          <w:color w:val="1A3A5C"/>
          <w:sz w:val="20"/>
          <w:szCs w:val="24"/>
        </w:rPr>
      </w:pPr>
      <w:r w:rsidRPr="00A50094">
        <w:rPr>
          <w:i/>
          <w:sz w:val="22"/>
        </w:rPr>
        <w:t>3D render of naca6412_frontwing in XFLR5, showing the wing panel geometry.</w:t>
      </w:r>
    </w:p>
    <w:p w:rsidR="00400BE1" w:rsidRDefault="003C067D">
      <w:pPr>
        <w:pStyle w:val="Heading2"/>
        <w:spacing w:before="300" w:after="150"/>
      </w:pPr>
      <w:r>
        <w:rPr>
          <w:b/>
          <w:bCs/>
          <w:color w:val="1A3A5C"/>
          <w:sz w:val="24"/>
          <w:szCs w:val="24"/>
        </w:rPr>
        <w:t>3.2 Ground Effect Modelling Approach</w:t>
      </w:r>
    </w:p>
    <w:p w:rsidR="00400BE1" w:rsidRDefault="003C067D">
      <w:pPr>
        <w:spacing w:after="160" w:line="276" w:lineRule="auto"/>
        <w:jc w:val="both"/>
      </w:pPr>
      <w:r>
        <w:rPr>
          <w:color w:val="333333"/>
          <w:sz w:val="22"/>
          <w:szCs w:val="22"/>
        </w:rPr>
        <w:t xml:space="preserve">XFLR5 models ground effect via an image-plane method within its 3D panel solver: the ground is represented as a mirror plane, and an image wing is placed </w:t>
      </w:r>
      <w:proofErr w:type="gramStart"/>
      <w:r>
        <w:rPr>
          <w:color w:val="333333"/>
          <w:sz w:val="22"/>
          <w:szCs w:val="22"/>
        </w:rPr>
        <w:t>symme</w:t>
      </w:r>
      <w:r>
        <w:rPr>
          <w:color w:val="333333"/>
          <w:sz w:val="22"/>
          <w:szCs w:val="22"/>
        </w:rPr>
        <w:t>trically</w:t>
      </w:r>
      <w:proofErr w:type="gramEnd"/>
      <w:r>
        <w:rPr>
          <w:color w:val="333333"/>
          <w:sz w:val="22"/>
          <w:szCs w:val="22"/>
        </w:rPr>
        <w:t xml:space="preserve"> below it, with the two wings' mutually induced velocities capturing the aerodynamic interaction of the real wing with the ground.</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00BE1">
        <w:tblPrEx>
          <w:tblCellMar>
            <w:top w:w="0" w:type="dxa"/>
            <w:bottom w:w="0" w:type="dxa"/>
          </w:tblCellMar>
        </w:tblPrEx>
        <w:tc>
          <w:tcPr>
            <w:tcW w:w="9000" w:type="dxa"/>
            <w:tcBorders>
              <w:top w:val="single" w:sz="8" w:space="0" w:color="B8860B"/>
              <w:bottom w:val="single" w:sz="8" w:space="0" w:color="B8860B"/>
            </w:tcBorders>
            <w:shd w:val="clear" w:color="auto" w:fill="FBF3E0"/>
            <w:tcMar>
              <w:top w:w="160" w:type="dxa"/>
              <w:left w:w="200" w:type="dxa"/>
              <w:bottom w:w="160" w:type="dxa"/>
              <w:right w:w="200" w:type="dxa"/>
            </w:tcMar>
          </w:tcPr>
          <w:p w:rsidR="00400BE1" w:rsidRDefault="003C067D">
            <w:pPr>
              <w:spacing w:after="80"/>
            </w:pPr>
            <w:r>
              <w:rPr>
                <w:b/>
                <w:bCs/>
                <w:color w:val="1A3A5C"/>
                <w:sz w:val="22"/>
                <w:szCs w:val="22"/>
              </w:rPr>
              <w:t xml:space="preserve">Modelling decision — viscous </w:t>
            </w:r>
            <w:proofErr w:type="spellStart"/>
            <w:r>
              <w:rPr>
                <w:b/>
                <w:bCs/>
                <w:color w:val="1A3A5C"/>
                <w:sz w:val="22"/>
                <w:szCs w:val="22"/>
              </w:rPr>
              <w:t>vs</w:t>
            </w:r>
            <w:proofErr w:type="spellEnd"/>
            <w:r>
              <w:rPr>
                <w:b/>
                <w:bCs/>
                <w:color w:val="1A3A5C"/>
                <w:sz w:val="22"/>
                <w:szCs w:val="22"/>
              </w:rPr>
              <w:t xml:space="preserve"> </w:t>
            </w:r>
            <w:proofErr w:type="spellStart"/>
            <w:r>
              <w:rPr>
                <w:b/>
                <w:bCs/>
                <w:color w:val="1A3A5C"/>
                <w:sz w:val="22"/>
                <w:szCs w:val="22"/>
              </w:rPr>
              <w:t>inviscid</w:t>
            </w:r>
            <w:proofErr w:type="spellEnd"/>
          </w:p>
          <w:p w:rsidR="00400BE1" w:rsidRDefault="003C067D">
            <w:pPr>
              <w:jc w:val="both"/>
            </w:pPr>
            <w:r>
              <w:rPr>
                <w:color w:val="333333"/>
                <w:sz w:val="21"/>
                <w:szCs w:val="21"/>
              </w:rPr>
              <w:t xml:space="preserve">The ground effect sweep was run using the </w:t>
            </w:r>
            <w:proofErr w:type="spellStart"/>
            <w:r>
              <w:rPr>
                <w:color w:val="333333"/>
                <w:sz w:val="21"/>
                <w:szCs w:val="21"/>
              </w:rPr>
              <w:t>inviscid</w:t>
            </w:r>
            <w:proofErr w:type="spellEnd"/>
            <w:r>
              <w:rPr>
                <w:color w:val="333333"/>
                <w:sz w:val="21"/>
                <w:szCs w:val="21"/>
              </w:rPr>
              <w:t xml:space="preserve"> VLM2 solver rather than t</w:t>
            </w:r>
            <w:r>
              <w:rPr>
                <w:color w:val="333333"/>
                <w:sz w:val="21"/>
                <w:szCs w:val="21"/>
              </w:rPr>
              <w:t xml:space="preserve">he viscous-coupled VLM2 option. This was a deliberate choice: ground effect is fundamentally a circulation/pressure phenomenon rather than a viscous one, and viscous section </w:t>
            </w:r>
            <w:proofErr w:type="spellStart"/>
            <w:r>
              <w:rPr>
                <w:color w:val="333333"/>
                <w:sz w:val="21"/>
                <w:szCs w:val="21"/>
              </w:rPr>
              <w:t>behaviour</w:t>
            </w:r>
            <w:proofErr w:type="spellEnd"/>
            <w:r>
              <w:rPr>
                <w:color w:val="333333"/>
                <w:sz w:val="21"/>
                <w:szCs w:val="21"/>
              </w:rPr>
              <w:t xml:space="preserve"> was already independently </w:t>
            </w:r>
            <w:proofErr w:type="spellStart"/>
            <w:r>
              <w:rPr>
                <w:color w:val="333333"/>
                <w:sz w:val="21"/>
                <w:szCs w:val="21"/>
              </w:rPr>
              <w:t>characterised</w:t>
            </w:r>
            <w:proofErr w:type="spellEnd"/>
            <w:r>
              <w:rPr>
                <w:color w:val="333333"/>
                <w:sz w:val="21"/>
                <w:szCs w:val="21"/>
              </w:rPr>
              <w:t xml:space="preserve"> in Module 1. Additionally, the v</w:t>
            </w:r>
            <w:r>
              <w:rPr>
                <w:color w:val="333333"/>
                <w:sz w:val="21"/>
                <w:szCs w:val="21"/>
              </w:rPr>
              <w:t xml:space="preserve">iscous coupling in XFLR5 requires a bracketing range of stored 2D </w:t>
            </w:r>
            <w:proofErr w:type="spellStart"/>
            <w:r>
              <w:rPr>
                <w:color w:val="333333"/>
                <w:sz w:val="21"/>
                <w:szCs w:val="21"/>
              </w:rPr>
              <w:t>polars</w:t>
            </w:r>
            <w:proofErr w:type="spellEnd"/>
            <w:r>
              <w:rPr>
                <w:color w:val="333333"/>
                <w:sz w:val="21"/>
                <w:szCs w:val="21"/>
              </w:rPr>
              <w:t xml:space="preserve"> at </w:t>
            </w:r>
            <w:proofErr w:type="spellStart"/>
            <w:r>
              <w:rPr>
                <w:color w:val="333333"/>
                <w:sz w:val="21"/>
                <w:szCs w:val="21"/>
              </w:rPr>
              <w:t>neighbouring</w:t>
            </w:r>
            <w:proofErr w:type="spellEnd"/>
            <w:r>
              <w:rPr>
                <w:color w:val="333333"/>
                <w:sz w:val="21"/>
                <w:szCs w:val="21"/>
              </w:rPr>
              <w:t xml:space="preserve"> Reynolds numbers to interpolate correctly; only a single polar at exactly Re = 1,000,000 was available, which the solver could not use for interpolation. Running </w:t>
            </w:r>
            <w:proofErr w:type="spellStart"/>
            <w:r>
              <w:rPr>
                <w:color w:val="333333"/>
                <w:sz w:val="21"/>
                <w:szCs w:val="21"/>
              </w:rPr>
              <w:t>invis</w:t>
            </w:r>
            <w:r>
              <w:rPr>
                <w:color w:val="333333"/>
                <w:sz w:val="21"/>
                <w:szCs w:val="21"/>
              </w:rPr>
              <w:t>cid</w:t>
            </w:r>
            <w:proofErr w:type="spellEnd"/>
            <w:r>
              <w:rPr>
                <w:color w:val="333333"/>
                <w:sz w:val="21"/>
                <w:szCs w:val="21"/>
              </w:rPr>
              <w:t xml:space="preserve"> VLM2 avoided this limitation while remaining physically appropriate for the phenomenon under study.</w:t>
            </w:r>
          </w:p>
        </w:tc>
      </w:tr>
    </w:tbl>
    <w:p w:rsidR="00400BE1" w:rsidRDefault="003C067D">
      <w:pPr>
        <w:pStyle w:val="Heading2"/>
        <w:spacing w:before="300" w:after="150"/>
      </w:pPr>
      <w:r>
        <w:rPr>
          <w:b/>
          <w:bCs/>
          <w:color w:val="1A3A5C"/>
          <w:sz w:val="24"/>
          <w:szCs w:val="24"/>
        </w:rPr>
        <w:t>3.3 Solver Configuration</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00BE1">
        <w:tblPrEx>
          <w:tblCellMar>
            <w:top w:w="0" w:type="dxa"/>
            <w:bottom w:w="0" w:type="dxa"/>
          </w:tblCellMar>
        </w:tblPrEx>
        <w:tc>
          <w:tcPr>
            <w:tcW w:w="4500" w:type="dxa"/>
            <w:shd w:val="clear" w:color="auto" w:fill="1A3A5C"/>
            <w:tcMar>
              <w:top w:w="80" w:type="dxa"/>
              <w:left w:w="100" w:type="dxa"/>
              <w:bottom w:w="80" w:type="dxa"/>
              <w:right w:w="100" w:type="dxa"/>
            </w:tcMar>
            <w:vAlign w:val="center"/>
          </w:tcPr>
          <w:p w:rsidR="00400BE1" w:rsidRDefault="003C067D">
            <w:pPr>
              <w:jc w:val="center"/>
            </w:pPr>
            <w:r>
              <w:rPr>
                <w:b/>
                <w:bCs/>
                <w:color w:val="FFFFFF"/>
              </w:rPr>
              <w:t>Parameter</w:t>
            </w:r>
          </w:p>
        </w:tc>
        <w:tc>
          <w:tcPr>
            <w:tcW w:w="4500" w:type="dxa"/>
            <w:shd w:val="clear" w:color="auto" w:fill="1A3A5C"/>
            <w:tcMar>
              <w:top w:w="80" w:type="dxa"/>
              <w:left w:w="100" w:type="dxa"/>
              <w:bottom w:w="80" w:type="dxa"/>
              <w:right w:w="100" w:type="dxa"/>
            </w:tcMar>
            <w:vAlign w:val="center"/>
          </w:tcPr>
          <w:p w:rsidR="00400BE1" w:rsidRDefault="003C067D">
            <w:pPr>
              <w:jc w:val="center"/>
            </w:pPr>
            <w:r>
              <w:rPr>
                <w:b/>
                <w:bCs/>
                <w:color w:val="FFFFFF"/>
              </w:rPr>
              <w:t>Value</w:t>
            </w:r>
          </w:p>
        </w:tc>
      </w:tr>
      <w:tr w:rsidR="00400BE1">
        <w:tblPrEx>
          <w:tblCellMar>
            <w:top w:w="0" w:type="dxa"/>
            <w:bottom w:w="0" w:type="dxa"/>
          </w:tblCellMar>
        </w:tblPrEx>
        <w:tc>
          <w:tcPr>
            <w:tcW w:w="4500" w:type="dxa"/>
            <w:tcMar>
              <w:top w:w="80" w:type="dxa"/>
              <w:left w:w="100" w:type="dxa"/>
              <w:bottom w:w="80" w:type="dxa"/>
              <w:right w:w="100" w:type="dxa"/>
            </w:tcMar>
            <w:vAlign w:val="center"/>
          </w:tcPr>
          <w:p w:rsidR="00400BE1" w:rsidRDefault="003C067D">
            <w:pPr>
              <w:jc w:val="center"/>
            </w:pPr>
            <w:r>
              <w:rPr>
                <w:color w:val="333333"/>
              </w:rPr>
              <w:t>Solver</w:t>
            </w:r>
          </w:p>
        </w:tc>
        <w:tc>
          <w:tcPr>
            <w:tcW w:w="4500" w:type="dxa"/>
            <w:tcMar>
              <w:top w:w="80" w:type="dxa"/>
              <w:left w:w="100" w:type="dxa"/>
              <w:bottom w:w="80" w:type="dxa"/>
              <w:right w:w="100" w:type="dxa"/>
            </w:tcMar>
            <w:vAlign w:val="center"/>
          </w:tcPr>
          <w:p w:rsidR="00400BE1" w:rsidRDefault="003C067D">
            <w:pPr>
              <w:jc w:val="center"/>
            </w:pPr>
            <w:r>
              <w:rPr>
                <w:color w:val="333333"/>
              </w:rPr>
              <w:t>VLM2 (Vortex Lattice Method, ring vortices)</w:t>
            </w:r>
          </w:p>
        </w:tc>
      </w:tr>
      <w:tr w:rsidR="00400BE1">
        <w:tblPrEx>
          <w:tblCellMar>
            <w:top w:w="0" w:type="dxa"/>
            <w:bottom w:w="0" w:type="dxa"/>
          </w:tblCellMar>
        </w:tblPrEx>
        <w:tc>
          <w:tcPr>
            <w:tcW w:w="4500" w:type="dxa"/>
            <w:shd w:val="clear" w:color="auto" w:fill="FBF3E0"/>
            <w:tcMar>
              <w:top w:w="80" w:type="dxa"/>
              <w:left w:w="100" w:type="dxa"/>
              <w:bottom w:w="80" w:type="dxa"/>
              <w:right w:w="100" w:type="dxa"/>
            </w:tcMar>
            <w:vAlign w:val="center"/>
          </w:tcPr>
          <w:p w:rsidR="00400BE1" w:rsidRDefault="003C067D">
            <w:pPr>
              <w:jc w:val="center"/>
            </w:pPr>
            <w:r>
              <w:rPr>
                <w:color w:val="333333"/>
              </w:rPr>
              <w:t>Boundary condition</w:t>
            </w:r>
          </w:p>
        </w:tc>
        <w:tc>
          <w:tcPr>
            <w:tcW w:w="4500" w:type="dxa"/>
            <w:shd w:val="clear" w:color="auto" w:fill="FBF3E0"/>
            <w:tcMar>
              <w:top w:w="80" w:type="dxa"/>
              <w:left w:w="100" w:type="dxa"/>
              <w:bottom w:w="80" w:type="dxa"/>
              <w:right w:w="100" w:type="dxa"/>
            </w:tcMar>
            <w:vAlign w:val="center"/>
          </w:tcPr>
          <w:p w:rsidR="00400BE1" w:rsidRDefault="003C067D">
            <w:pPr>
              <w:jc w:val="center"/>
            </w:pPr>
            <w:r>
              <w:rPr>
                <w:color w:val="333333"/>
              </w:rPr>
              <w:t>Neumann (wing surface)</w:t>
            </w:r>
          </w:p>
        </w:tc>
      </w:tr>
      <w:tr w:rsidR="00400BE1">
        <w:tblPrEx>
          <w:tblCellMar>
            <w:top w:w="0" w:type="dxa"/>
            <w:bottom w:w="0" w:type="dxa"/>
          </w:tblCellMar>
        </w:tblPrEx>
        <w:tc>
          <w:tcPr>
            <w:tcW w:w="4500" w:type="dxa"/>
            <w:tcMar>
              <w:top w:w="80" w:type="dxa"/>
              <w:left w:w="100" w:type="dxa"/>
              <w:bottom w:w="80" w:type="dxa"/>
              <w:right w:w="100" w:type="dxa"/>
            </w:tcMar>
            <w:vAlign w:val="center"/>
          </w:tcPr>
          <w:p w:rsidR="00400BE1" w:rsidRDefault="003C067D">
            <w:pPr>
              <w:jc w:val="center"/>
            </w:pPr>
            <w:r>
              <w:rPr>
                <w:color w:val="333333"/>
              </w:rPr>
              <w:t>Viscous coupling</w:t>
            </w:r>
          </w:p>
        </w:tc>
        <w:tc>
          <w:tcPr>
            <w:tcW w:w="4500" w:type="dxa"/>
            <w:tcMar>
              <w:top w:w="80" w:type="dxa"/>
              <w:left w:w="100" w:type="dxa"/>
              <w:bottom w:w="80" w:type="dxa"/>
              <w:right w:w="100" w:type="dxa"/>
            </w:tcMar>
            <w:vAlign w:val="center"/>
          </w:tcPr>
          <w:p w:rsidR="00400BE1" w:rsidRDefault="003C067D">
            <w:pPr>
              <w:jc w:val="center"/>
            </w:pPr>
            <w:r>
              <w:rPr>
                <w:color w:val="333333"/>
              </w:rPr>
              <w:t>Off (</w:t>
            </w:r>
            <w:proofErr w:type="spellStart"/>
            <w:r>
              <w:rPr>
                <w:color w:val="333333"/>
              </w:rPr>
              <w:t>inviscid</w:t>
            </w:r>
            <w:proofErr w:type="spellEnd"/>
            <w:r>
              <w:rPr>
                <w:color w:val="333333"/>
              </w:rPr>
              <w:t>)</w:t>
            </w:r>
          </w:p>
        </w:tc>
      </w:tr>
      <w:tr w:rsidR="00400BE1">
        <w:tblPrEx>
          <w:tblCellMar>
            <w:top w:w="0" w:type="dxa"/>
            <w:bottom w:w="0" w:type="dxa"/>
          </w:tblCellMar>
        </w:tblPrEx>
        <w:tc>
          <w:tcPr>
            <w:tcW w:w="4500" w:type="dxa"/>
            <w:shd w:val="clear" w:color="auto" w:fill="FBF3E0"/>
            <w:tcMar>
              <w:top w:w="80" w:type="dxa"/>
              <w:left w:w="100" w:type="dxa"/>
              <w:bottom w:w="80" w:type="dxa"/>
              <w:right w:w="100" w:type="dxa"/>
            </w:tcMar>
            <w:vAlign w:val="center"/>
          </w:tcPr>
          <w:p w:rsidR="00400BE1" w:rsidRDefault="003C067D">
            <w:pPr>
              <w:jc w:val="center"/>
            </w:pPr>
            <w:proofErr w:type="spellStart"/>
            <w:r>
              <w:rPr>
                <w:color w:val="333333"/>
              </w:rPr>
              <w:lastRenderedPageBreak/>
              <w:t>Freestream</w:t>
            </w:r>
            <w:proofErr w:type="spellEnd"/>
            <w:r>
              <w:rPr>
                <w:color w:val="333333"/>
              </w:rPr>
              <w:t xml:space="preserve"> velocity</w:t>
            </w:r>
          </w:p>
        </w:tc>
        <w:tc>
          <w:tcPr>
            <w:tcW w:w="4500" w:type="dxa"/>
            <w:shd w:val="clear" w:color="auto" w:fill="FBF3E0"/>
            <w:tcMar>
              <w:top w:w="80" w:type="dxa"/>
              <w:left w:w="100" w:type="dxa"/>
              <w:bottom w:w="80" w:type="dxa"/>
              <w:right w:w="100" w:type="dxa"/>
            </w:tcMar>
            <w:vAlign w:val="center"/>
          </w:tcPr>
          <w:p w:rsidR="00400BE1" w:rsidRDefault="003C067D">
            <w:pPr>
              <w:jc w:val="center"/>
            </w:pPr>
            <w:r>
              <w:rPr>
                <w:color w:val="333333"/>
              </w:rPr>
              <w:t>60.0 m/s</w:t>
            </w:r>
          </w:p>
        </w:tc>
      </w:tr>
      <w:tr w:rsidR="00400BE1">
        <w:tblPrEx>
          <w:tblCellMar>
            <w:top w:w="0" w:type="dxa"/>
            <w:bottom w:w="0" w:type="dxa"/>
          </w:tblCellMar>
        </w:tblPrEx>
        <w:tc>
          <w:tcPr>
            <w:tcW w:w="4500" w:type="dxa"/>
            <w:tcMar>
              <w:top w:w="80" w:type="dxa"/>
              <w:left w:w="100" w:type="dxa"/>
              <w:bottom w:w="80" w:type="dxa"/>
              <w:right w:w="100" w:type="dxa"/>
            </w:tcMar>
            <w:vAlign w:val="center"/>
          </w:tcPr>
          <w:p w:rsidR="00400BE1" w:rsidRDefault="003C067D">
            <w:pPr>
              <w:jc w:val="center"/>
            </w:pPr>
            <w:r>
              <w:rPr>
                <w:color w:val="333333"/>
              </w:rPr>
              <w:t>Reynolds number</w:t>
            </w:r>
          </w:p>
        </w:tc>
        <w:tc>
          <w:tcPr>
            <w:tcW w:w="4500" w:type="dxa"/>
            <w:tcMar>
              <w:top w:w="80" w:type="dxa"/>
              <w:left w:w="100" w:type="dxa"/>
              <w:bottom w:w="80" w:type="dxa"/>
              <w:right w:w="100" w:type="dxa"/>
            </w:tcMar>
            <w:vAlign w:val="center"/>
          </w:tcPr>
          <w:p w:rsidR="00400BE1" w:rsidRDefault="003C067D">
            <w:pPr>
              <w:jc w:val="center"/>
            </w:pPr>
            <w:r>
              <w:rPr>
                <w:color w:val="333333"/>
              </w:rPr>
              <w:t>1,000,000</w:t>
            </w:r>
          </w:p>
        </w:tc>
      </w:tr>
      <w:tr w:rsidR="00400BE1">
        <w:tblPrEx>
          <w:tblCellMar>
            <w:top w:w="0" w:type="dxa"/>
            <w:bottom w:w="0" w:type="dxa"/>
          </w:tblCellMar>
        </w:tblPrEx>
        <w:tc>
          <w:tcPr>
            <w:tcW w:w="4500" w:type="dxa"/>
            <w:shd w:val="clear" w:color="auto" w:fill="FBF3E0"/>
            <w:tcMar>
              <w:top w:w="80" w:type="dxa"/>
              <w:left w:w="100" w:type="dxa"/>
              <w:bottom w:w="80" w:type="dxa"/>
              <w:right w:w="100" w:type="dxa"/>
            </w:tcMar>
            <w:vAlign w:val="center"/>
          </w:tcPr>
          <w:p w:rsidR="00400BE1" w:rsidRDefault="003C067D">
            <w:pPr>
              <w:jc w:val="center"/>
            </w:pPr>
            <w:r>
              <w:rPr>
                <w:color w:val="333333"/>
              </w:rPr>
              <w:t>Angle of attack</w:t>
            </w:r>
          </w:p>
        </w:tc>
        <w:tc>
          <w:tcPr>
            <w:tcW w:w="4500" w:type="dxa"/>
            <w:shd w:val="clear" w:color="auto" w:fill="FBF3E0"/>
            <w:tcMar>
              <w:top w:w="80" w:type="dxa"/>
              <w:left w:w="100" w:type="dxa"/>
              <w:bottom w:w="80" w:type="dxa"/>
              <w:right w:w="100" w:type="dxa"/>
            </w:tcMar>
            <w:vAlign w:val="center"/>
          </w:tcPr>
          <w:p w:rsidR="00400BE1" w:rsidRDefault="003C067D">
            <w:pPr>
              <w:jc w:val="center"/>
            </w:pPr>
            <w:r>
              <w:rPr>
                <w:color w:val="333333"/>
              </w:rPr>
              <w:t>5.0° (fixed)</w:t>
            </w:r>
          </w:p>
        </w:tc>
      </w:tr>
      <w:tr w:rsidR="00400BE1">
        <w:tblPrEx>
          <w:tblCellMar>
            <w:top w:w="0" w:type="dxa"/>
            <w:bottom w:w="0" w:type="dxa"/>
          </w:tblCellMar>
        </w:tblPrEx>
        <w:tc>
          <w:tcPr>
            <w:tcW w:w="4500" w:type="dxa"/>
            <w:tcMar>
              <w:top w:w="80" w:type="dxa"/>
              <w:left w:w="100" w:type="dxa"/>
              <w:bottom w:w="80" w:type="dxa"/>
              <w:right w:w="100" w:type="dxa"/>
            </w:tcMar>
            <w:vAlign w:val="center"/>
          </w:tcPr>
          <w:p w:rsidR="00400BE1" w:rsidRDefault="003C067D">
            <w:pPr>
              <w:jc w:val="center"/>
            </w:pPr>
            <w:r>
              <w:rPr>
                <w:color w:val="333333"/>
              </w:rPr>
              <w:t>Ground clearance ratios tested (h/c)</w:t>
            </w:r>
          </w:p>
        </w:tc>
        <w:tc>
          <w:tcPr>
            <w:tcW w:w="4500" w:type="dxa"/>
            <w:tcMar>
              <w:top w:w="80" w:type="dxa"/>
              <w:left w:w="100" w:type="dxa"/>
              <w:bottom w:w="80" w:type="dxa"/>
              <w:right w:w="100" w:type="dxa"/>
            </w:tcMar>
            <w:vAlign w:val="center"/>
          </w:tcPr>
          <w:p w:rsidR="00400BE1" w:rsidRDefault="003C067D">
            <w:pPr>
              <w:jc w:val="center"/>
            </w:pPr>
            <w:r>
              <w:rPr>
                <w:color w:val="333333"/>
              </w:rPr>
              <w:t>1.0, 0.5, 0.3, 0.2, 0.1</w:t>
            </w:r>
          </w:p>
        </w:tc>
      </w:tr>
      <w:tr w:rsidR="00400BE1">
        <w:tblPrEx>
          <w:tblCellMar>
            <w:top w:w="0" w:type="dxa"/>
            <w:bottom w:w="0" w:type="dxa"/>
          </w:tblCellMar>
        </w:tblPrEx>
        <w:tc>
          <w:tcPr>
            <w:tcW w:w="4500" w:type="dxa"/>
            <w:shd w:val="clear" w:color="auto" w:fill="FBF3E0"/>
            <w:tcMar>
              <w:top w:w="80" w:type="dxa"/>
              <w:left w:w="100" w:type="dxa"/>
              <w:bottom w:w="80" w:type="dxa"/>
              <w:right w:w="100" w:type="dxa"/>
            </w:tcMar>
            <w:vAlign w:val="center"/>
          </w:tcPr>
          <w:p w:rsidR="00400BE1" w:rsidRDefault="003C067D">
            <w:pPr>
              <w:jc w:val="center"/>
            </w:pPr>
            <w:r>
              <w:rPr>
                <w:color w:val="333333"/>
              </w:rPr>
              <w:t>Air density</w:t>
            </w:r>
          </w:p>
        </w:tc>
        <w:tc>
          <w:tcPr>
            <w:tcW w:w="4500" w:type="dxa"/>
            <w:shd w:val="clear" w:color="auto" w:fill="FBF3E0"/>
            <w:tcMar>
              <w:top w:w="80" w:type="dxa"/>
              <w:left w:w="100" w:type="dxa"/>
              <w:bottom w:w="80" w:type="dxa"/>
              <w:right w:w="100" w:type="dxa"/>
            </w:tcMar>
            <w:vAlign w:val="center"/>
          </w:tcPr>
          <w:p w:rsidR="00400BE1" w:rsidRDefault="003C067D">
            <w:pPr>
              <w:jc w:val="center"/>
            </w:pPr>
            <w:r>
              <w:rPr>
                <w:color w:val="333333"/>
              </w:rPr>
              <w:t>1.225 kg/m³</w:t>
            </w:r>
          </w:p>
        </w:tc>
      </w:tr>
      <w:tr w:rsidR="00400BE1">
        <w:tblPrEx>
          <w:tblCellMar>
            <w:top w:w="0" w:type="dxa"/>
            <w:bottom w:w="0" w:type="dxa"/>
          </w:tblCellMar>
        </w:tblPrEx>
        <w:tc>
          <w:tcPr>
            <w:tcW w:w="4500" w:type="dxa"/>
            <w:tcMar>
              <w:top w:w="80" w:type="dxa"/>
              <w:left w:w="100" w:type="dxa"/>
              <w:bottom w:w="80" w:type="dxa"/>
              <w:right w:w="100" w:type="dxa"/>
            </w:tcMar>
            <w:vAlign w:val="center"/>
          </w:tcPr>
          <w:p w:rsidR="00400BE1" w:rsidRDefault="003C067D">
            <w:pPr>
              <w:jc w:val="center"/>
            </w:pPr>
            <w:r>
              <w:rPr>
                <w:color w:val="333333"/>
              </w:rPr>
              <w:t>Air viscosity</w:t>
            </w:r>
          </w:p>
        </w:tc>
        <w:tc>
          <w:tcPr>
            <w:tcW w:w="4500" w:type="dxa"/>
            <w:tcMar>
              <w:top w:w="80" w:type="dxa"/>
              <w:left w:w="100" w:type="dxa"/>
              <w:bottom w:w="80" w:type="dxa"/>
              <w:right w:w="100" w:type="dxa"/>
            </w:tcMar>
            <w:vAlign w:val="center"/>
          </w:tcPr>
          <w:p w:rsidR="00400BE1" w:rsidRDefault="003C067D">
            <w:pPr>
              <w:jc w:val="center"/>
            </w:pPr>
            <w:r>
              <w:rPr>
                <w:color w:val="333333"/>
              </w:rPr>
              <w:t>1.5 × 10⁻⁵ m²/s</w:t>
            </w:r>
          </w:p>
        </w:tc>
      </w:tr>
    </w:tbl>
    <w:p w:rsidR="00400BE1" w:rsidRDefault="003C067D">
      <w:r>
        <w:br w:type="page"/>
      </w:r>
    </w:p>
    <w:p w:rsidR="00400BE1" w:rsidRDefault="003C067D">
      <w:pPr>
        <w:pStyle w:val="Heading1"/>
        <w:pBdr>
          <w:bottom w:val="single" w:sz="12" w:space="4" w:color="B8860B"/>
        </w:pBdr>
        <w:spacing w:before="400" w:after="200"/>
      </w:pPr>
      <w:r>
        <w:rPr>
          <w:b/>
          <w:bCs/>
          <w:color w:val="1A3A5C"/>
          <w:sz w:val="30"/>
          <w:szCs w:val="30"/>
        </w:rPr>
        <w:lastRenderedPageBreak/>
        <w:t xml:space="preserve">4. Results — Module 1: 2D Foil </w:t>
      </w:r>
      <w:proofErr w:type="spellStart"/>
      <w:r>
        <w:rPr>
          <w:b/>
          <w:bCs/>
          <w:color w:val="1A3A5C"/>
          <w:sz w:val="30"/>
          <w:szCs w:val="30"/>
        </w:rPr>
        <w:t>Characterisation</w:t>
      </w:r>
      <w:proofErr w:type="spellEnd"/>
    </w:p>
    <w:p w:rsidR="00400BE1" w:rsidRDefault="003C067D">
      <w:pPr>
        <w:pStyle w:val="Heading2"/>
        <w:spacing w:before="300" w:after="150"/>
      </w:pPr>
      <w:r>
        <w:rPr>
          <w:b/>
          <w:bCs/>
          <w:color w:val="1A3A5C"/>
          <w:sz w:val="24"/>
          <w:szCs w:val="24"/>
        </w:rPr>
        <w:t xml:space="preserve">4.1 Lift and Drag </w:t>
      </w:r>
      <w:proofErr w:type="spellStart"/>
      <w:r>
        <w:rPr>
          <w:b/>
          <w:bCs/>
          <w:color w:val="1A3A5C"/>
          <w:sz w:val="24"/>
          <w:szCs w:val="24"/>
        </w:rPr>
        <w:t>Behaviour</w:t>
      </w:r>
      <w:proofErr w:type="spellEnd"/>
    </w:p>
    <w:p w:rsidR="00400BE1" w:rsidRDefault="003C067D">
      <w:pPr>
        <w:spacing w:after="160" w:line="276" w:lineRule="auto"/>
        <w:jc w:val="both"/>
      </w:pPr>
      <w:r>
        <w:rPr>
          <w:color w:val="333333"/>
          <w:sz w:val="22"/>
          <w:szCs w:val="22"/>
        </w:rPr>
        <w:t xml:space="preserve">The lift curve for the NACA 6412 section (Figure 1) shows the expected </w:t>
      </w:r>
      <w:proofErr w:type="spellStart"/>
      <w:r>
        <w:rPr>
          <w:color w:val="333333"/>
          <w:sz w:val="22"/>
          <w:szCs w:val="22"/>
        </w:rPr>
        <w:t>behaviour</w:t>
      </w:r>
      <w:proofErr w:type="spellEnd"/>
      <w:r>
        <w:rPr>
          <w:color w:val="333333"/>
          <w:sz w:val="22"/>
          <w:szCs w:val="22"/>
        </w:rPr>
        <w:t xml:space="preserve"> of a cambered </w:t>
      </w:r>
      <w:proofErr w:type="spellStart"/>
      <w:r>
        <w:rPr>
          <w:color w:val="333333"/>
          <w:sz w:val="22"/>
          <w:szCs w:val="22"/>
        </w:rPr>
        <w:t>aerofoil</w:t>
      </w:r>
      <w:proofErr w:type="spellEnd"/>
      <w:r>
        <w:rPr>
          <w:color w:val="333333"/>
          <w:sz w:val="22"/>
          <w:szCs w:val="22"/>
        </w:rPr>
        <w:t>: a positive lift coefficient at zero angle of attack (</w:t>
      </w:r>
      <w:proofErr w:type="spellStart"/>
      <w:r>
        <w:rPr>
          <w:color w:val="333333"/>
          <w:sz w:val="22"/>
          <w:szCs w:val="22"/>
        </w:rPr>
        <w:t>Cl</w:t>
      </w:r>
      <w:proofErr w:type="spellEnd"/>
      <w:r>
        <w:rPr>
          <w:color w:val="333333"/>
          <w:sz w:val="22"/>
          <w:szCs w:val="22"/>
        </w:rPr>
        <w:t xml:space="preserve"> = 0.699 at α = 0°),</w:t>
      </w:r>
      <w:r>
        <w:rPr>
          <w:color w:val="333333"/>
          <w:sz w:val="22"/>
          <w:szCs w:val="22"/>
        </w:rPr>
        <w:t xml:space="preserve"> reflecting the section's inherent camber generating lift even at zero geometric incidence. The curve is linear through the mid-range, with lift increasing at approximately 0.108 per degree between α = −2° and α = 5°, consistent with thin </w:t>
      </w:r>
      <w:proofErr w:type="spellStart"/>
      <w:r>
        <w:rPr>
          <w:color w:val="333333"/>
          <w:sz w:val="22"/>
          <w:szCs w:val="22"/>
        </w:rPr>
        <w:t>aerofoil</w:t>
      </w:r>
      <w:proofErr w:type="spellEnd"/>
      <w:r>
        <w:rPr>
          <w:color w:val="333333"/>
          <w:sz w:val="22"/>
          <w:szCs w:val="22"/>
        </w:rPr>
        <w:t xml:space="preserve"> theory's</w:t>
      </w:r>
      <w:r>
        <w:rPr>
          <w:color w:val="333333"/>
          <w:sz w:val="22"/>
          <w:szCs w:val="22"/>
        </w:rPr>
        <w:t xml:space="preserve"> prediction near 2π per radian for attached flow. Beyond approximately α = 9°, the curve flattens as the boundary layer thickens and separates progressively from the trailing edge forward, reaching </w:t>
      </w:r>
      <w:proofErr w:type="spellStart"/>
      <w:r>
        <w:rPr>
          <w:color w:val="333333"/>
          <w:sz w:val="22"/>
          <w:szCs w:val="22"/>
        </w:rPr>
        <w:t>Cl,max</w:t>
      </w:r>
      <w:proofErr w:type="spellEnd"/>
      <w:r>
        <w:rPr>
          <w:color w:val="333333"/>
          <w:sz w:val="22"/>
          <w:szCs w:val="22"/>
        </w:rPr>
        <w:t xml:space="preserve"> = 1.698 at α = 15.5° before a gentle post-stall dec</w:t>
      </w:r>
      <w:r>
        <w:rPr>
          <w:color w:val="333333"/>
          <w:sz w:val="22"/>
          <w:szCs w:val="22"/>
        </w:rPr>
        <w:t>line — a well-behaved trailing-edge stall rather than an abrupt separation.</w:t>
      </w:r>
    </w:p>
    <w:p w:rsidR="00400BE1" w:rsidRDefault="003C067D">
      <w:pPr>
        <w:spacing w:before="200"/>
        <w:jc w:val="center"/>
      </w:pPr>
      <w:r>
        <w:rPr>
          <w:noProof/>
        </w:rPr>
        <w:drawing>
          <wp:inline distT="0" distB="0" distL="0" distR="0">
            <wp:extent cx="43815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743200"/>
                    </a:xfrm>
                    <a:prstGeom prst="rect">
                      <a:avLst/>
                    </a:prstGeom>
                  </pic:spPr>
                </pic:pic>
              </a:graphicData>
            </a:graphic>
          </wp:inline>
        </w:drawing>
      </w:r>
    </w:p>
    <w:p w:rsidR="00400BE1" w:rsidRDefault="003C067D">
      <w:pPr>
        <w:spacing w:before="80" w:after="240"/>
        <w:jc w:val="center"/>
      </w:pPr>
      <w:r>
        <w:rPr>
          <w:i/>
          <w:iCs/>
          <w:color w:val="1A3A5C"/>
        </w:rPr>
        <w:t xml:space="preserve">Figure </w:t>
      </w:r>
      <w:proofErr w:type="gramStart"/>
      <w:r>
        <w:rPr>
          <w:i/>
          <w:iCs/>
          <w:color w:val="1A3A5C"/>
        </w:rPr>
        <w:t>1 :</w:t>
      </w:r>
      <w:proofErr w:type="gramEnd"/>
      <w:r>
        <w:rPr>
          <w:i/>
          <w:iCs/>
          <w:color w:val="1A3A5C"/>
        </w:rPr>
        <w:t xml:space="preserve"> Lift coefficient </w:t>
      </w:r>
      <w:proofErr w:type="spellStart"/>
      <w:r>
        <w:rPr>
          <w:i/>
          <w:iCs/>
          <w:color w:val="1A3A5C"/>
        </w:rPr>
        <w:t>vs</w:t>
      </w:r>
      <w:proofErr w:type="spellEnd"/>
      <w:r>
        <w:rPr>
          <w:i/>
          <w:iCs/>
          <w:color w:val="1A3A5C"/>
        </w:rPr>
        <w:t xml:space="preserve"> angle of attack. Linear region followed by gradual stall onset near α = 17°.</w:t>
      </w:r>
    </w:p>
    <w:p w:rsidR="00400BE1" w:rsidRDefault="003C067D">
      <w:pPr>
        <w:spacing w:after="160" w:line="276" w:lineRule="auto"/>
        <w:jc w:val="both"/>
      </w:pPr>
      <w:r>
        <w:rPr>
          <w:color w:val="333333"/>
          <w:sz w:val="22"/>
          <w:szCs w:val="22"/>
        </w:rPr>
        <w:t>Drag remains low and nearly flat across the linear lift region (Figure</w:t>
      </w:r>
      <w:r>
        <w:rPr>
          <w:color w:val="333333"/>
          <w:sz w:val="22"/>
          <w:szCs w:val="22"/>
        </w:rPr>
        <w:t xml:space="preserve"> 2), reaching a minimum of Cd = 0.00724 at α = 2.5° — the section's “drag bucket,” where the boundary layer remains substantially laminar before transitioning. Beyond α ≈ 9°, drag rises sharply and non-linearly as the growing separated region consumes mome</w:t>
      </w:r>
      <w:r>
        <w:rPr>
          <w:color w:val="333333"/>
          <w:sz w:val="22"/>
          <w:szCs w:val="22"/>
        </w:rPr>
        <w:t>ntum, mirroring the flattening of the lift curve over the same range.</w:t>
      </w:r>
    </w:p>
    <w:p w:rsidR="00400BE1" w:rsidRDefault="003C067D">
      <w:pPr>
        <w:spacing w:before="200"/>
        <w:jc w:val="center"/>
      </w:pPr>
      <w:r>
        <w:rPr>
          <w:noProof/>
        </w:rPr>
        <w:lastRenderedPageBreak/>
        <w:drawing>
          <wp:inline distT="0" distB="0" distL="0" distR="0">
            <wp:extent cx="43815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743200"/>
                    </a:xfrm>
                    <a:prstGeom prst="rect">
                      <a:avLst/>
                    </a:prstGeom>
                  </pic:spPr>
                </pic:pic>
              </a:graphicData>
            </a:graphic>
          </wp:inline>
        </w:drawing>
      </w:r>
    </w:p>
    <w:p w:rsidR="00400BE1" w:rsidRDefault="003C067D">
      <w:pPr>
        <w:spacing w:before="80" w:after="240"/>
        <w:jc w:val="center"/>
      </w:pPr>
      <w:r>
        <w:rPr>
          <w:i/>
          <w:iCs/>
          <w:color w:val="1A3A5C"/>
        </w:rPr>
        <w:t xml:space="preserve">Figure </w:t>
      </w:r>
      <w:proofErr w:type="gramStart"/>
      <w:r>
        <w:rPr>
          <w:i/>
          <w:iCs/>
          <w:color w:val="1A3A5C"/>
        </w:rPr>
        <w:t>2 :</w:t>
      </w:r>
      <w:proofErr w:type="gramEnd"/>
      <w:r>
        <w:rPr>
          <w:i/>
          <w:iCs/>
          <w:color w:val="1A3A5C"/>
        </w:rPr>
        <w:t xml:space="preserve"> Drag coefficient </w:t>
      </w:r>
      <w:proofErr w:type="spellStart"/>
      <w:r>
        <w:rPr>
          <w:i/>
          <w:iCs/>
          <w:color w:val="1A3A5C"/>
        </w:rPr>
        <w:t>vs</w:t>
      </w:r>
      <w:proofErr w:type="spellEnd"/>
      <w:r>
        <w:rPr>
          <w:i/>
          <w:iCs/>
          <w:color w:val="1A3A5C"/>
        </w:rPr>
        <w:t xml:space="preserve"> angle of attack, showing the low-drag bucket and post-stall drag rise.</w:t>
      </w:r>
    </w:p>
    <w:p w:rsidR="00400BE1" w:rsidRDefault="003C067D">
      <w:pPr>
        <w:pStyle w:val="Heading2"/>
        <w:spacing w:before="300" w:after="150"/>
      </w:pPr>
      <w:r>
        <w:rPr>
          <w:b/>
          <w:bCs/>
          <w:color w:val="1A3A5C"/>
          <w:sz w:val="24"/>
          <w:szCs w:val="24"/>
        </w:rPr>
        <w:t>4.2 Drag Polar and Efficiency</w:t>
      </w:r>
    </w:p>
    <w:p w:rsidR="00400BE1" w:rsidRDefault="003C067D">
      <w:pPr>
        <w:spacing w:after="160" w:line="276" w:lineRule="auto"/>
        <w:jc w:val="both"/>
      </w:pPr>
      <w:r>
        <w:rPr>
          <w:color w:val="333333"/>
          <w:sz w:val="22"/>
          <w:szCs w:val="22"/>
        </w:rPr>
        <w:t xml:space="preserve">The drag polar (Figure 3) presents the full </w:t>
      </w:r>
      <w:proofErr w:type="spellStart"/>
      <w:r>
        <w:rPr>
          <w:color w:val="333333"/>
          <w:sz w:val="22"/>
          <w:szCs w:val="22"/>
        </w:rPr>
        <w:t>Cl</w:t>
      </w:r>
      <w:proofErr w:type="spellEnd"/>
      <w:r>
        <w:rPr>
          <w:color w:val="333333"/>
          <w:sz w:val="22"/>
          <w:szCs w:val="22"/>
        </w:rPr>
        <w:t>–Cd pe</w:t>
      </w:r>
      <w:r>
        <w:rPr>
          <w:color w:val="333333"/>
          <w:sz w:val="22"/>
          <w:szCs w:val="22"/>
        </w:rPr>
        <w:t xml:space="preserve">rformance envelope in one view. The curve bows sharply left (low drag) through moderate lift before bending right past </w:t>
      </w:r>
      <w:proofErr w:type="spellStart"/>
      <w:r>
        <w:rPr>
          <w:color w:val="333333"/>
          <w:sz w:val="22"/>
          <w:szCs w:val="22"/>
        </w:rPr>
        <w:t>Cl</w:t>
      </w:r>
      <w:proofErr w:type="spellEnd"/>
      <w:r>
        <w:rPr>
          <w:color w:val="333333"/>
          <w:sz w:val="22"/>
          <w:szCs w:val="22"/>
        </w:rPr>
        <w:t xml:space="preserve"> ≈ 1.4, visually marking the exit from the drag bucket into separated flow. Maximum aerodynamic efficiency, </w:t>
      </w:r>
      <w:proofErr w:type="spellStart"/>
      <w:r>
        <w:rPr>
          <w:color w:val="333333"/>
          <w:sz w:val="22"/>
          <w:szCs w:val="22"/>
        </w:rPr>
        <w:t>Cl</w:t>
      </w:r>
      <w:proofErr w:type="spellEnd"/>
      <w:r>
        <w:rPr>
          <w:color w:val="333333"/>
          <w:sz w:val="22"/>
          <w:szCs w:val="22"/>
        </w:rPr>
        <w:t xml:space="preserve">/Cd = 147.2, occurs at α </w:t>
      </w:r>
      <w:r>
        <w:rPr>
          <w:color w:val="333333"/>
          <w:sz w:val="22"/>
          <w:szCs w:val="22"/>
        </w:rPr>
        <w:t xml:space="preserve">= 6° (Figure 4) — the practical sweet spot for efficient operation, though a front wing pursuing maximum </w:t>
      </w:r>
      <w:proofErr w:type="spellStart"/>
      <w:r>
        <w:rPr>
          <w:color w:val="333333"/>
          <w:sz w:val="22"/>
          <w:szCs w:val="22"/>
        </w:rPr>
        <w:t>downforce</w:t>
      </w:r>
      <w:proofErr w:type="spellEnd"/>
      <w:r>
        <w:rPr>
          <w:color w:val="333333"/>
          <w:sz w:val="22"/>
          <w:szCs w:val="22"/>
        </w:rPr>
        <w:t xml:space="preserve"> would typically be run well past this point, deliberately trading efficiency for greater absolute lift.</w:t>
      </w:r>
    </w:p>
    <w:p w:rsidR="00400BE1" w:rsidRDefault="003C067D">
      <w:pPr>
        <w:spacing w:before="200"/>
        <w:jc w:val="center"/>
      </w:pPr>
      <w:r>
        <w:rPr>
          <w:noProof/>
        </w:rPr>
        <w:drawing>
          <wp:inline distT="0" distB="0" distL="0" distR="0">
            <wp:extent cx="4000500"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3238500"/>
                    </a:xfrm>
                    <a:prstGeom prst="rect">
                      <a:avLst/>
                    </a:prstGeom>
                  </pic:spPr>
                </pic:pic>
              </a:graphicData>
            </a:graphic>
          </wp:inline>
        </w:drawing>
      </w:r>
    </w:p>
    <w:p w:rsidR="00400BE1" w:rsidRDefault="003C067D">
      <w:pPr>
        <w:spacing w:before="80" w:after="240"/>
        <w:jc w:val="center"/>
      </w:pPr>
      <w:r>
        <w:rPr>
          <w:i/>
          <w:iCs/>
          <w:color w:val="1A3A5C"/>
        </w:rPr>
        <w:t xml:space="preserve">Figure </w:t>
      </w:r>
      <w:proofErr w:type="gramStart"/>
      <w:r>
        <w:rPr>
          <w:i/>
          <w:iCs/>
          <w:color w:val="1A3A5C"/>
        </w:rPr>
        <w:t>3 :</w:t>
      </w:r>
      <w:proofErr w:type="gramEnd"/>
      <w:r>
        <w:rPr>
          <w:i/>
          <w:iCs/>
          <w:color w:val="1A3A5C"/>
        </w:rPr>
        <w:t xml:space="preserve"> Drag polar (</w:t>
      </w:r>
      <w:proofErr w:type="spellStart"/>
      <w:r>
        <w:rPr>
          <w:i/>
          <w:iCs/>
          <w:color w:val="1A3A5C"/>
        </w:rPr>
        <w:t>Cl</w:t>
      </w:r>
      <w:proofErr w:type="spellEnd"/>
      <w:r>
        <w:rPr>
          <w:i/>
          <w:iCs/>
          <w:color w:val="1A3A5C"/>
        </w:rPr>
        <w:t xml:space="preserve"> </w:t>
      </w:r>
      <w:proofErr w:type="spellStart"/>
      <w:r>
        <w:rPr>
          <w:i/>
          <w:iCs/>
          <w:color w:val="1A3A5C"/>
        </w:rPr>
        <w:t>vs</w:t>
      </w:r>
      <w:proofErr w:type="spellEnd"/>
      <w:r>
        <w:rPr>
          <w:i/>
          <w:iCs/>
          <w:color w:val="1A3A5C"/>
        </w:rPr>
        <w:t xml:space="preserve"> Cd), s</w:t>
      </w:r>
      <w:r>
        <w:rPr>
          <w:i/>
          <w:iCs/>
          <w:color w:val="1A3A5C"/>
        </w:rPr>
        <w:t>howing the drag bucket and the transition into separated flow.</w:t>
      </w:r>
    </w:p>
    <w:p w:rsidR="00400BE1" w:rsidRDefault="003C067D">
      <w:pPr>
        <w:spacing w:before="200"/>
        <w:jc w:val="center"/>
      </w:pPr>
      <w:r>
        <w:rPr>
          <w:noProof/>
        </w:rPr>
        <w:lastRenderedPageBreak/>
        <w:drawing>
          <wp:inline distT="0" distB="0" distL="0" distR="0">
            <wp:extent cx="43815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743200"/>
                    </a:xfrm>
                    <a:prstGeom prst="rect">
                      <a:avLst/>
                    </a:prstGeom>
                  </pic:spPr>
                </pic:pic>
              </a:graphicData>
            </a:graphic>
          </wp:inline>
        </w:drawing>
      </w:r>
    </w:p>
    <w:p w:rsidR="00400BE1" w:rsidRDefault="003C067D">
      <w:pPr>
        <w:spacing w:before="80" w:after="240"/>
        <w:jc w:val="center"/>
      </w:pPr>
      <w:r>
        <w:rPr>
          <w:i/>
          <w:iCs/>
          <w:color w:val="1A3A5C"/>
        </w:rPr>
        <w:t xml:space="preserve">Figure </w:t>
      </w:r>
      <w:proofErr w:type="gramStart"/>
      <w:r>
        <w:rPr>
          <w:i/>
          <w:iCs/>
          <w:color w:val="1A3A5C"/>
        </w:rPr>
        <w:t>4 :</w:t>
      </w:r>
      <w:proofErr w:type="gramEnd"/>
      <w:r>
        <w:rPr>
          <w:i/>
          <w:iCs/>
          <w:color w:val="1A3A5C"/>
        </w:rPr>
        <w:t xml:space="preserve"> Aerodynamic efficiency (</w:t>
      </w:r>
      <w:proofErr w:type="spellStart"/>
      <w:r>
        <w:rPr>
          <w:i/>
          <w:iCs/>
          <w:color w:val="1A3A5C"/>
        </w:rPr>
        <w:t>Cl</w:t>
      </w:r>
      <w:proofErr w:type="spellEnd"/>
      <w:r>
        <w:rPr>
          <w:i/>
          <w:iCs/>
          <w:color w:val="1A3A5C"/>
        </w:rPr>
        <w:t xml:space="preserve">/Cd) </w:t>
      </w:r>
      <w:proofErr w:type="spellStart"/>
      <w:r>
        <w:rPr>
          <w:i/>
          <w:iCs/>
          <w:color w:val="1A3A5C"/>
        </w:rPr>
        <w:t>vs</w:t>
      </w:r>
      <w:proofErr w:type="spellEnd"/>
      <w:r>
        <w:rPr>
          <w:i/>
          <w:iCs/>
          <w:color w:val="1A3A5C"/>
        </w:rPr>
        <w:t xml:space="preserve"> angle of attack, peaking at α = 6°.</w:t>
      </w:r>
    </w:p>
    <w:p w:rsidR="00400BE1" w:rsidRDefault="003C067D">
      <w:pPr>
        <w:pStyle w:val="Heading2"/>
        <w:spacing w:before="300" w:after="150"/>
      </w:pPr>
      <w:r>
        <w:rPr>
          <w:b/>
          <w:bCs/>
          <w:color w:val="1A3A5C"/>
          <w:sz w:val="24"/>
          <w:szCs w:val="24"/>
        </w:rPr>
        <w:t>4.3 Pitching Moment</w:t>
      </w:r>
    </w:p>
    <w:p w:rsidR="00400BE1" w:rsidRDefault="003C067D">
      <w:pPr>
        <w:spacing w:after="160" w:line="276" w:lineRule="auto"/>
        <w:jc w:val="both"/>
      </w:pPr>
      <w:r>
        <w:rPr>
          <w:color w:val="333333"/>
          <w:sz w:val="22"/>
          <w:szCs w:val="22"/>
        </w:rPr>
        <w:t>The pitching moment coefficient (Figure 5) remains negative and relatively stable near −0.</w:t>
      </w:r>
      <w:r>
        <w:rPr>
          <w:color w:val="333333"/>
          <w:sz w:val="22"/>
          <w:szCs w:val="22"/>
        </w:rPr>
        <w:t xml:space="preserve">15 through the linear lift range, becoming less negative as stall approaches — typical of a cambered section whose aerodynamic </w:t>
      </w:r>
      <w:proofErr w:type="spellStart"/>
      <w:r>
        <w:rPr>
          <w:color w:val="333333"/>
          <w:sz w:val="22"/>
          <w:szCs w:val="22"/>
        </w:rPr>
        <w:t>centre</w:t>
      </w:r>
      <w:proofErr w:type="spellEnd"/>
      <w:r>
        <w:rPr>
          <w:color w:val="333333"/>
          <w:sz w:val="22"/>
          <w:szCs w:val="22"/>
        </w:rPr>
        <w:t xml:space="preserve"> sits aft of the leading edge, producing a nose-down moment. For a wing-mounted application, this moment is reacted structu</w:t>
      </w:r>
      <w:r>
        <w:rPr>
          <w:color w:val="333333"/>
          <w:sz w:val="22"/>
          <w:szCs w:val="22"/>
        </w:rPr>
        <w:t>rally at the mounting points; its relative stability across the operating range means structural loading characteristics do not change dramatically until stall is approached.</w:t>
      </w:r>
    </w:p>
    <w:p w:rsidR="00400BE1" w:rsidRDefault="003C067D">
      <w:pPr>
        <w:spacing w:before="200"/>
        <w:jc w:val="center"/>
      </w:pPr>
      <w:r>
        <w:rPr>
          <w:noProof/>
        </w:rPr>
        <w:drawing>
          <wp:inline distT="0" distB="0" distL="0" distR="0">
            <wp:extent cx="43815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743200"/>
                    </a:xfrm>
                    <a:prstGeom prst="rect">
                      <a:avLst/>
                    </a:prstGeom>
                  </pic:spPr>
                </pic:pic>
              </a:graphicData>
            </a:graphic>
          </wp:inline>
        </w:drawing>
      </w:r>
    </w:p>
    <w:p w:rsidR="00400BE1" w:rsidRDefault="003C067D">
      <w:pPr>
        <w:spacing w:before="80" w:after="240"/>
        <w:jc w:val="center"/>
      </w:pPr>
      <w:r>
        <w:rPr>
          <w:i/>
          <w:iCs/>
          <w:color w:val="1A3A5C"/>
        </w:rPr>
        <w:t xml:space="preserve">Figure </w:t>
      </w:r>
      <w:proofErr w:type="gramStart"/>
      <w:r>
        <w:rPr>
          <w:i/>
          <w:iCs/>
          <w:color w:val="1A3A5C"/>
        </w:rPr>
        <w:t>5 :</w:t>
      </w:r>
      <w:proofErr w:type="gramEnd"/>
      <w:r>
        <w:rPr>
          <w:i/>
          <w:iCs/>
          <w:color w:val="1A3A5C"/>
        </w:rPr>
        <w:t xml:space="preserve"> Pitching moment coefficient </w:t>
      </w:r>
      <w:proofErr w:type="spellStart"/>
      <w:r>
        <w:rPr>
          <w:i/>
          <w:iCs/>
          <w:color w:val="1A3A5C"/>
        </w:rPr>
        <w:t>vs</w:t>
      </w:r>
      <w:proofErr w:type="spellEnd"/>
      <w:r>
        <w:rPr>
          <w:i/>
          <w:iCs/>
          <w:color w:val="1A3A5C"/>
        </w:rPr>
        <w:t xml:space="preserve"> angle of attack.</w:t>
      </w:r>
    </w:p>
    <w:p w:rsidR="00400BE1" w:rsidRDefault="003C067D">
      <w:r>
        <w:br w:type="page"/>
      </w:r>
    </w:p>
    <w:p w:rsidR="00400BE1" w:rsidRDefault="003C067D">
      <w:pPr>
        <w:pStyle w:val="Heading1"/>
        <w:pBdr>
          <w:bottom w:val="single" w:sz="12" w:space="4" w:color="B8860B"/>
        </w:pBdr>
        <w:spacing w:before="400" w:after="200"/>
      </w:pPr>
      <w:r>
        <w:rPr>
          <w:b/>
          <w:bCs/>
          <w:color w:val="1A3A5C"/>
          <w:sz w:val="30"/>
          <w:szCs w:val="30"/>
        </w:rPr>
        <w:lastRenderedPageBreak/>
        <w:t>5. Results — Modul</w:t>
      </w:r>
      <w:r>
        <w:rPr>
          <w:b/>
          <w:bCs/>
          <w:color w:val="1A3A5C"/>
          <w:sz w:val="30"/>
          <w:szCs w:val="30"/>
        </w:rPr>
        <w:t>e 2: Ground Effect Sweep</w:t>
      </w:r>
    </w:p>
    <w:p w:rsidR="00400BE1" w:rsidRDefault="003C067D">
      <w:pPr>
        <w:pStyle w:val="Heading2"/>
        <w:spacing w:before="300" w:after="150"/>
      </w:pPr>
      <w:r>
        <w:rPr>
          <w:b/>
          <w:bCs/>
          <w:color w:val="1A3A5C"/>
          <w:sz w:val="24"/>
          <w:szCs w:val="24"/>
        </w:rPr>
        <w:t xml:space="preserve">5.1 Lift and Drag </w:t>
      </w:r>
      <w:proofErr w:type="spellStart"/>
      <w:r>
        <w:rPr>
          <w:b/>
          <w:bCs/>
          <w:color w:val="1A3A5C"/>
          <w:sz w:val="24"/>
          <w:szCs w:val="24"/>
        </w:rPr>
        <w:t>vs</w:t>
      </w:r>
      <w:proofErr w:type="spellEnd"/>
      <w:r>
        <w:rPr>
          <w:b/>
          <w:bCs/>
          <w:color w:val="1A3A5C"/>
          <w:sz w:val="24"/>
          <w:szCs w:val="24"/>
        </w:rPr>
        <w:t xml:space="preserve"> Ground Clearance</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400BE1">
        <w:tblPrEx>
          <w:tblCellMar>
            <w:top w:w="0" w:type="dxa"/>
            <w:bottom w:w="0" w:type="dxa"/>
          </w:tblCellMar>
        </w:tblPrEx>
        <w:tc>
          <w:tcPr>
            <w:tcW w:w="2250" w:type="dxa"/>
            <w:shd w:val="clear" w:color="auto" w:fill="1A3A5C"/>
            <w:tcMar>
              <w:top w:w="80" w:type="dxa"/>
              <w:left w:w="100" w:type="dxa"/>
              <w:bottom w:w="80" w:type="dxa"/>
              <w:right w:w="100" w:type="dxa"/>
            </w:tcMar>
            <w:vAlign w:val="center"/>
          </w:tcPr>
          <w:p w:rsidR="00400BE1" w:rsidRDefault="003C067D">
            <w:pPr>
              <w:jc w:val="center"/>
            </w:pPr>
            <w:r>
              <w:rPr>
                <w:b/>
                <w:bCs/>
                <w:color w:val="FFFFFF"/>
              </w:rPr>
              <w:t>h/c</w:t>
            </w:r>
          </w:p>
        </w:tc>
        <w:tc>
          <w:tcPr>
            <w:tcW w:w="2250" w:type="dxa"/>
            <w:shd w:val="clear" w:color="auto" w:fill="1A3A5C"/>
            <w:tcMar>
              <w:top w:w="80" w:type="dxa"/>
              <w:left w:w="100" w:type="dxa"/>
              <w:bottom w:w="80" w:type="dxa"/>
              <w:right w:w="100" w:type="dxa"/>
            </w:tcMar>
            <w:vAlign w:val="center"/>
          </w:tcPr>
          <w:p w:rsidR="00400BE1" w:rsidRDefault="003C067D">
            <w:pPr>
              <w:jc w:val="center"/>
            </w:pPr>
            <w:proofErr w:type="spellStart"/>
            <w:r>
              <w:rPr>
                <w:b/>
                <w:bCs/>
                <w:color w:val="FFFFFF"/>
              </w:rPr>
              <w:t>Cl</w:t>
            </w:r>
            <w:proofErr w:type="spellEnd"/>
          </w:p>
        </w:tc>
        <w:tc>
          <w:tcPr>
            <w:tcW w:w="2250" w:type="dxa"/>
            <w:shd w:val="clear" w:color="auto" w:fill="1A3A5C"/>
            <w:tcMar>
              <w:top w:w="80" w:type="dxa"/>
              <w:left w:w="100" w:type="dxa"/>
              <w:bottom w:w="80" w:type="dxa"/>
              <w:right w:w="100" w:type="dxa"/>
            </w:tcMar>
            <w:vAlign w:val="center"/>
          </w:tcPr>
          <w:p w:rsidR="00400BE1" w:rsidRDefault="003C067D">
            <w:pPr>
              <w:jc w:val="center"/>
            </w:pPr>
            <w:r>
              <w:rPr>
                <w:b/>
                <w:bCs/>
                <w:color w:val="FFFFFF"/>
              </w:rPr>
              <w:t>Cd</w:t>
            </w:r>
          </w:p>
        </w:tc>
        <w:tc>
          <w:tcPr>
            <w:tcW w:w="2250" w:type="dxa"/>
            <w:shd w:val="clear" w:color="auto" w:fill="1A3A5C"/>
            <w:tcMar>
              <w:top w:w="80" w:type="dxa"/>
              <w:left w:w="100" w:type="dxa"/>
              <w:bottom w:w="80" w:type="dxa"/>
              <w:right w:w="100" w:type="dxa"/>
            </w:tcMar>
            <w:vAlign w:val="center"/>
          </w:tcPr>
          <w:p w:rsidR="00400BE1" w:rsidRDefault="003C067D">
            <w:pPr>
              <w:jc w:val="center"/>
            </w:pPr>
            <w:proofErr w:type="spellStart"/>
            <w:r>
              <w:rPr>
                <w:b/>
                <w:bCs/>
                <w:color w:val="FFFFFF"/>
              </w:rPr>
              <w:t>Cl</w:t>
            </w:r>
            <w:proofErr w:type="spellEnd"/>
            <w:r>
              <w:rPr>
                <w:b/>
                <w:bCs/>
                <w:color w:val="FFFFFF"/>
              </w:rPr>
              <w:t>/Cd</w:t>
            </w:r>
          </w:p>
        </w:tc>
      </w:tr>
      <w:tr w:rsidR="00400BE1">
        <w:tblPrEx>
          <w:tblCellMar>
            <w:top w:w="0" w:type="dxa"/>
            <w:bottom w:w="0" w:type="dxa"/>
          </w:tblCellMar>
        </w:tblPrEx>
        <w:tc>
          <w:tcPr>
            <w:tcW w:w="2250" w:type="dxa"/>
            <w:tcMar>
              <w:top w:w="80" w:type="dxa"/>
              <w:left w:w="100" w:type="dxa"/>
              <w:bottom w:w="80" w:type="dxa"/>
              <w:right w:w="100" w:type="dxa"/>
            </w:tcMar>
            <w:vAlign w:val="center"/>
          </w:tcPr>
          <w:p w:rsidR="00400BE1" w:rsidRDefault="003C067D">
            <w:pPr>
              <w:jc w:val="center"/>
            </w:pPr>
            <w:r>
              <w:rPr>
                <w:color w:val="333333"/>
              </w:rPr>
              <w:t>1.0</w:t>
            </w:r>
          </w:p>
        </w:tc>
        <w:tc>
          <w:tcPr>
            <w:tcW w:w="2250" w:type="dxa"/>
            <w:tcMar>
              <w:top w:w="80" w:type="dxa"/>
              <w:left w:w="100" w:type="dxa"/>
              <w:bottom w:w="80" w:type="dxa"/>
              <w:right w:w="100" w:type="dxa"/>
            </w:tcMar>
            <w:vAlign w:val="center"/>
          </w:tcPr>
          <w:p w:rsidR="00400BE1" w:rsidRDefault="003C067D">
            <w:pPr>
              <w:jc w:val="center"/>
            </w:pPr>
            <w:r>
              <w:rPr>
                <w:color w:val="333333"/>
              </w:rPr>
              <w:t>0.9409</w:t>
            </w:r>
          </w:p>
        </w:tc>
        <w:tc>
          <w:tcPr>
            <w:tcW w:w="2250" w:type="dxa"/>
            <w:tcMar>
              <w:top w:w="80" w:type="dxa"/>
              <w:left w:w="100" w:type="dxa"/>
              <w:bottom w:w="80" w:type="dxa"/>
              <w:right w:w="100" w:type="dxa"/>
            </w:tcMar>
            <w:vAlign w:val="center"/>
          </w:tcPr>
          <w:p w:rsidR="00400BE1" w:rsidRDefault="003C067D">
            <w:pPr>
              <w:jc w:val="center"/>
            </w:pPr>
            <w:r>
              <w:rPr>
                <w:color w:val="333333"/>
              </w:rPr>
              <w:t>0.0247</w:t>
            </w:r>
          </w:p>
        </w:tc>
        <w:tc>
          <w:tcPr>
            <w:tcW w:w="2250" w:type="dxa"/>
            <w:tcMar>
              <w:top w:w="80" w:type="dxa"/>
              <w:left w:w="100" w:type="dxa"/>
              <w:bottom w:w="80" w:type="dxa"/>
              <w:right w:w="100" w:type="dxa"/>
            </w:tcMar>
            <w:vAlign w:val="center"/>
          </w:tcPr>
          <w:p w:rsidR="00400BE1" w:rsidRDefault="003C067D">
            <w:pPr>
              <w:jc w:val="center"/>
            </w:pPr>
            <w:r>
              <w:rPr>
                <w:color w:val="333333"/>
              </w:rPr>
              <w:t>38.1</w:t>
            </w:r>
          </w:p>
        </w:tc>
      </w:tr>
      <w:tr w:rsidR="00400BE1">
        <w:tblPrEx>
          <w:tblCellMar>
            <w:top w:w="0" w:type="dxa"/>
            <w:bottom w:w="0" w:type="dxa"/>
          </w:tblCellMar>
        </w:tblPrEx>
        <w:tc>
          <w:tcPr>
            <w:tcW w:w="2250" w:type="dxa"/>
            <w:shd w:val="clear" w:color="auto" w:fill="FBF3E0"/>
            <w:tcMar>
              <w:top w:w="80" w:type="dxa"/>
              <w:left w:w="100" w:type="dxa"/>
              <w:bottom w:w="80" w:type="dxa"/>
              <w:right w:w="100" w:type="dxa"/>
            </w:tcMar>
            <w:vAlign w:val="center"/>
          </w:tcPr>
          <w:p w:rsidR="00400BE1" w:rsidRDefault="003C067D">
            <w:pPr>
              <w:jc w:val="center"/>
            </w:pPr>
            <w:r>
              <w:rPr>
                <w:color w:val="333333"/>
              </w:rPr>
              <w:t>0.5</w:t>
            </w:r>
          </w:p>
        </w:tc>
        <w:tc>
          <w:tcPr>
            <w:tcW w:w="2250" w:type="dxa"/>
            <w:shd w:val="clear" w:color="auto" w:fill="FBF3E0"/>
            <w:tcMar>
              <w:top w:w="80" w:type="dxa"/>
              <w:left w:w="100" w:type="dxa"/>
              <w:bottom w:w="80" w:type="dxa"/>
              <w:right w:w="100" w:type="dxa"/>
            </w:tcMar>
            <w:vAlign w:val="center"/>
          </w:tcPr>
          <w:p w:rsidR="00400BE1" w:rsidRDefault="003C067D">
            <w:pPr>
              <w:jc w:val="center"/>
            </w:pPr>
            <w:r>
              <w:rPr>
                <w:color w:val="333333"/>
              </w:rPr>
              <w:t>1.0374</w:t>
            </w:r>
          </w:p>
        </w:tc>
        <w:tc>
          <w:tcPr>
            <w:tcW w:w="2250" w:type="dxa"/>
            <w:shd w:val="clear" w:color="auto" w:fill="FBF3E0"/>
            <w:tcMar>
              <w:top w:w="80" w:type="dxa"/>
              <w:left w:w="100" w:type="dxa"/>
              <w:bottom w:w="80" w:type="dxa"/>
              <w:right w:w="100" w:type="dxa"/>
            </w:tcMar>
            <w:vAlign w:val="center"/>
          </w:tcPr>
          <w:p w:rsidR="00400BE1" w:rsidRDefault="003C067D">
            <w:pPr>
              <w:jc w:val="center"/>
            </w:pPr>
            <w:r>
              <w:rPr>
                <w:color w:val="333333"/>
              </w:rPr>
              <w:t>0.0210</w:t>
            </w:r>
          </w:p>
        </w:tc>
        <w:tc>
          <w:tcPr>
            <w:tcW w:w="2250" w:type="dxa"/>
            <w:shd w:val="clear" w:color="auto" w:fill="FBF3E0"/>
            <w:tcMar>
              <w:top w:w="80" w:type="dxa"/>
              <w:left w:w="100" w:type="dxa"/>
              <w:bottom w:w="80" w:type="dxa"/>
              <w:right w:w="100" w:type="dxa"/>
            </w:tcMar>
            <w:vAlign w:val="center"/>
          </w:tcPr>
          <w:p w:rsidR="00400BE1" w:rsidRDefault="003C067D">
            <w:pPr>
              <w:jc w:val="center"/>
            </w:pPr>
            <w:r>
              <w:rPr>
                <w:color w:val="333333"/>
              </w:rPr>
              <w:t>49.3</w:t>
            </w:r>
          </w:p>
        </w:tc>
      </w:tr>
      <w:tr w:rsidR="00400BE1">
        <w:tblPrEx>
          <w:tblCellMar>
            <w:top w:w="0" w:type="dxa"/>
            <w:bottom w:w="0" w:type="dxa"/>
          </w:tblCellMar>
        </w:tblPrEx>
        <w:tc>
          <w:tcPr>
            <w:tcW w:w="2250" w:type="dxa"/>
            <w:tcMar>
              <w:top w:w="80" w:type="dxa"/>
              <w:left w:w="100" w:type="dxa"/>
              <w:bottom w:w="80" w:type="dxa"/>
              <w:right w:w="100" w:type="dxa"/>
            </w:tcMar>
            <w:vAlign w:val="center"/>
          </w:tcPr>
          <w:p w:rsidR="00400BE1" w:rsidRDefault="003C067D">
            <w:pPr>
              <w:jc w:val="center"/>
            </w:pPr>
            <w:r>
              <w:rPr>
                <w:color w:val="333333"/>
              </w:rPr>
              <w:t>0.3</w:t>
            </w:r>
          </w:p>
        </w:tc>
        <w:tc>
          <w:tcPr>
            <w:tcW w:w="2250" w:type="dxa"/>
            <w:tcMar>
              <w:top w:w="80" w:type="dxa"/>
              <w:left w:w="100" w:type="dxa"/>
              <w:bottom w:w="80" w:type="dxa"/>
              <w:right w:w="100" w:type="dxa"/>
            </w:tcMar>
            <w:vAlign w:val="center"/>
          </w:tcPr>
          <w:p w:rsidR="00400BE1" w:rsidRDefault="003C067D">
            <w:pPr>
              <w:jc w:val="center"/>
            </w:pPr>
            <w:r>
              <w:rPr>
                <w:color w:val="333333"/>
              </w:rPr>
              <w:t>1.1713</w:t>
            </w:r>
          </w:p>
        </w:tc>
        <w:tc>
          <w:tcPr>
            <w:tcW w:w="2250" w:type="dxa"/>
            <w:tcMar>
              <w:top w:w="80" w:type="dxa"/>
              <w:left w:w="100" w:type="dxa"/>
              <w:bottom w:w="80" w:type="dxa"/>
              <w:right w:w="100" w:type="dxa"/>
            </w:tcMar>
            <w:vAlign w:val="center"/>
          </w:tcPr>
          <w:p w:rsidR="00400BE1" w:rsidRDefault="003C067D">
            <w:pPr>
              <w:jc w:val="center"/>
            </w:pPr>
            <w:r>
              <w:rPr>
                <w:color w:val="333333"/>
              </w:rPr>
              <w:t>0.0194</w:t>
            </w:r>
          </w:p>
        </w:tc>
        <w:tc>
          <w:tcPr>
            <w:tcW w:w="2250" w:type="dxa"/>
            <w:tcMar>
              <w:top w:w="80" w:type="dxa"/>
              <w:left w:w="100" w:type="dxa"/>
              <w:bottom w:w="80" w:type="dxa"/>
              <w:right w:w="100" w:type="dxa"/>
            </w:tcMar>
            <w:vAlign w:val="center"/>
          </w:tcPr>
          <w:p w:rsidR="00400BE1" w:rsidRDefault="003C067D">
            <w:pPr>
              <w:jc w:val="center"/>
            </w:pPr>
            <w:r>
              <w:rPr>
                <w:color w:val="333333"/>
              </w:rPr>
              <w:t>60.3</w:t>
            </w:r>
          </w:p>
        </w:tc>
      </w:tr>
      <w:tr w:rsidR="00400BE1">
        <w:tblPrEx>
          <w:tblCellMar>
            <w:top w:w="0" w:type="dxa"/>
            <w:bottom w:w="0" w:type="dxa"/>
          </w:tblCellMar>
        </w:tblPrEx>
        <w:tc>
          <w:tcPr>
            <w:tcW w:w="2250" w:type="dxa"/>
            <w:shd w:val="clear" w:color="auto" w:fill="FBF3E0"/>
            <w:tcMar>
              <w:top w:w="80" w:type="dxa"/>
              <w:left w:w="100" w:type="dxa"/>
              <w:bottom w:w="80" w:type="dxa"/>
              <w:right w:w="100" w:type="dxa"/>
            </w:tcMar>
            <w:vAlign w:val="center"/>
          </w:tcPr>
          <w:p w:rsidR="00400BE1" w:rsidRDefault="003C067D">
            <w:pPr>
              <w:jc w:val="center"/>
            </w:pPr>
            <w:r>
              <w:rPr>
                <w:color w:val="333333"/>
              </w:rPr>
              <w:t>0.2</w:t>
            </w:r>
          </w:p>
        </w:tc>
        <w:tc>
          <w:tcPr>
            <w:tcW w:w="2250" w:type="dxa"/>
            <w:shd w:val="clear" w:color="auto" w:fill="FBF3E0"/>
            <w:tcMar>
              <w:top w:w="80" w:type="dxa"/>
              <w:left w:w="100" w:type="dxa"/>
              <w:bottom w:w="80" w:type="dxa"/>
              <w:right w:w="100" w:type="dxa"/>
            </w:tcMar>
            <w:vAlign w:val="center"/>
          </w:tcPr>
          <w:p w:rsidR="00400BE1" w:rsidRDefault="003C067D">
            <w:pPr>
              <w:jc w:val="center"/>
            </w:pPr>
            <w:r>
              <w:rPr>
                <w:color w:val="333333"/>
              </w:rPr>
              <w:t>1.3316</w:t>
            </w:r>
          </w:p>
        </w:tc>
        <w:tc>
          <w:tcPr>
            <w:tcW w:w="2250" w:type="dxa"/>
            <w:shd w:val="clear" w:color="auto" w:fill="FBF3E0"/>
            <w:tcMar>
              <w:top w:w="80" w:type="dxa"/>
              <w:left w:w="100" w:type="dxa"/>
              <w:bottom w:w="80" w:type="dxa"/>
              <w:right w:w="100" w:type="dxa"/>
            </w:tcMar>
            <w:vAlign w:val="center"/>
          </w:tcPr>
          <w:p w:rsidR="00400BE1" w:rsidRDefault="003C067D">
            <w:pPr>
              <w:jc w:val="center"/>
            </w:pPr>
            <w:r>
              <w:rPr>
                <w:color w:val="333333"/>
              </w:rPr>
              <w:t>0.0188</w:t>
            </w:r>
          </w:p>
        </w:tc>
        <w:tc>
          <w:tcPr>
            <w:tcW w:w="2250" w:type="dxa"/>
            <w:shd w:val="clear" w:color="auto" w:fill="FBF3E0"/>
            <w:tcMar>
              <w:top w:w="80" w:type="dxa"/>
              <w:left w:w="100" w:type="dxa"/>
              <w:bottom w:w="80" w:type="dxa"/>
              <w:right w:w="100" w:type="dxa"/>
            </w:tcMar>
            <w:vAlign w:val="center"/>
          </w:tcPr>
          <w:p w:rsidR="00400BE1" w:rsidRDefault="003C067D">
            <w:pPr>
              <w:jc w:val="center"/>
            </w:pPr>
            <w:r>
              <w:rPr>
                <w:color w:val="333333"/>
              </w:rPr>
              <w:t>70.9</w:t>
            </w:r>
          </w:p>
        </w:tc>
      </w:tr>
      <w:tr w:rsidR="00400BE1">
        <w:tblPrEx>
          <w:tblCellMar>
            <w:top w:w="0" w:type="dxa"/>
            <w:bottom w:w="0" w:type="dxa"/>
          </w:tblCellMar>
        </w:tblPrEx>
        <w:tc>
          <w:tcPr>
            <w:tcW w:w="2250" w:type="dxa"/>
            <w:tcMar>
              <w:top w:w="80" w:type="dxa"/>
              <w:left w:w="100" w:type="dxa"/>
              <w:bottom w:w="80" w:type="dxa"/>
              <w:right w:w="100" w:type="dxa"/>
            </w:tcMar>
            <w:vAlign w:val="center"/>
          </w:tcPr>
          <w:p w:rsidR="00400BE1" w:rsidRDefault="003C067D">
            <w:pPr>
              <w:jc w:val="center"/>
            </w:pPr>
            <w:r>
              <w:rPr>
                <w:color w:val="333333"/>
              </w:rPr>
              <w:t>0.1</w:t>
            </w:r>
          </w:p>
        </w:tc>
        <w:tc>
          <w:tcPr>
            <w:tcW w:w="2250" w:type="dxa"/>
            <w:tcMar>
              <w:top w:w="80" w:type="dxa"/>
              <w:left w:w="100" w:type="dxa"/>
              <w:bottom w:w="80" w:type="dxa"/>
              <w:right w:w="100" w:type="dxa"/>
            </w:tcMar>
            <w:vAlign w:val="center"/>
          </w:tcPr>
          <w:p w:rsidR="00400BE1" w:rsidRDefault="003C067D">
            <w:pPr>
              <w:jc w:val="center"/>
            </w:pPr>
            <w:r>
              <w:rPr>
                <w:color w:val="333333"/>
              </w:rPr>
              <w:t>1.7349</w:t>
            </w:r>
          </w:p>
        </w:tc>
        <w:tc>
          <w:tcPr>
            <w:tcW w:w="2250" w:type="dxa"/>
            <w:tcMar>
              <w:top w:w="80" w:type="dxa"/>
              <w:left w:w="100" w:type="dxa"/>
              <w:bottom w:w="80" w:type="dxa"/>
              <w:right w:w="100" w:type="dxa"/>
            </w:tcMar>
            <w:vAlign w:val="center"/>
          </w:tcPr>
          <w:p w:rsidR="00400BE1" w:rsidRDefault="003C067D">
            <w:pPr>
              <w:jc w:val="center"/>
            </w:pPr>
            <w:r>
              <w:rPr>
                <w:color w:val="333333"/>
              </w:rPr>
              <w:t>0.0180</w:t>
            </w:r>
          </w:p>
        </w:tc>
        <w:tc>
          <w:tcPr>
            <w:tcW w:w="2250" w:type="dxa"/>
            <w:tcMar>
              <w:top w:w="80" w:type="dxa"/>
              <w:left w:w="100" w:type="dxa"/>
              <w:bottom w:w="80" w:type="dxa"/>
              <w:right w:w="100" w:type="dxa"/>
            </w:tcMar>
            <w:vAlign w:val="center"/>
          </w:tcPr>
          <w:p w:rsidR="00400BE1" w:rsidRDefault="003C067D">
            <w:pPr>
              <w:jc w:val="center"/>
            </w:pPr>
            <w:r>
              <w:rPr>
                <w:color w:val="333333"/>
              </w:rPr>
              <w:t>96.4</w:t>
            </w:r>
          </w:p>
        </w:tc>
      </w:tr>
    </w:tbl>
    <w:p w:rsidR="00400BE1" w:rsidRDefault="003C067D">
      <w:pPr>
        <w:spacing w:after="160" w:line="276" w:lineRule="auto"/>
        <w:jc w:val="both"/>
      </w:pPr>
      <w:r>
        <w:rPr>
          <w:color w:val="333333"/>
          <w:sz w:val="22"/>
          <w:szCs w:val="22"/>
        </w:rPr>
        <w:t xml:space="preserve">At h/c = 1.0 — effectively out of ground effect for this geometry — the wing produces </w:t>
      </w:r>
      <w:proofErr w:type="spellStart"/>
      <w:r>
        <w:rPr>
          <w:color w:val="333333"/>
          <w:sz w:val="22"/>
          <w:szCs w:val="22"/>
        </w:rPr>
        <w:t>Cl</w:t>
      </w:r>
      <w:proofErr w:type="spellEnd"/>
      <w:r>
        <w:rPr>
          <w:color w:val="333333"/>
          <w:sz w:val="22"/>
          <w:szCs w:val="22"/>
        </w:rPr>
        <w:t xml:space="preserve"> = 0.941 at α = 5°. As the wing is brought closer to the ground, lift rises steadily to 1.037 at h/c = 0.5, 1.171 at h/c = 0.3, 1.332 at h/c = 0.2, and finally 1.735 at</w:t>
      </w:r>
      <w:r>
        <w:rPr>
          <w:color w:val="333333"/>
          <w:sz w:val="22"/>
          <w:szCs w:val="22"/>
        </w:rPr>
        <w:t xml:space="preserve"> h/c = 0.1: an 84% increase across the sweep at fixed angle of attack (Figure 6). This is the direct consequence of the ground plane restricting flow beneath the wing — as the gap narrows, air passing underneath accelerates and local static pressure drops </w:t>
      </w:r>
      <w:r>
        <w:rPr>
          <w:color w:val="333333"/>
          <w:sz w:val="22"/>
          <w:szCs w:val="22"/>
        </w:rPr>
        <w:t xml:space="preserve">relative to the upper surface, and this larger pressure differential is registered directly as increased lift. Critically, the rate of increase is non-linear: the </w:t>
      </w:r>
      <w:proofErr w:type="spellStart"/>
      <w:r>
        <w:rPr>
          <w:color w:val="333333"/>
          <w:sz w:val="22"/>
          <w:szCs w:val="22"/>
        </w:rPr>
        <w:t>Cl</w:t>
      </w:r>
      <w:proofErr w:type="spellEnd"/>
      <w:r>
        <w:rPr>
          <w:color w:val="333333"/>
          <w:sz w:val="22"/>
          <w:szCs w:val="22"/>
        </w:rPr>
        <w:t xml:space="preserve"> gain between h/c = 0.2 and h/c = 0.1 (+0.403) is more than ten times the gain between h/c </w:t>
      </w:r>
      <w:r>
        <w:rPr>
          <w:color w:val="333333"/>
          <w:sz w:val="22"/>
          <w:szCs w:val="22"/>
        </w:rPr>
        <w:t xml:space="preserve">= 1.0 and h/c = 0.5 (+0.037), confirming that ground effect strengthens sharply as clearance approaches zero — precisely why real F1 front wings are run only </w:t>
      </w:r>
      <w:proofErr w:type="spellStart"/>
      <w:r>
        <w:rPr>
          <w:color w:val="333333"/>
          <w:sz w:val="22"/>
          <w:szCs w:val="22"/>
        </w:rPr>
        <w:t>millimetres</w:t>
      </w:r>
      <w:proofErr w:type="spellEnd"/>
      <w:r>
        <w:rPr>
          <w:color w:val="333333"/>
          <w:sz w:val="22"/>
          <w:szCs w:val="22"/>
        </w:rPr>
        <w:t xml:space="preserve"> from the road surface.</w:t>
      </w:r>
    </w:p>
    <w:p w:rsidR="00400BE1" w:rsidRDefault="003C067D">
      <w:pPr>
        <w:spacing w:before="200"/>
        <w:jc w:val="center"/>
      </w:pPr>
      <w:r>
        <w:rPr>
          <w:noProof/>
        </w:rPr>
        <w:drawing>
          <wp:inline distT="0" distB="0" distL="0" distR="0">
            <wp:extent cx="43815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743200"/>
                    </a:xfrm>
                    <a:prstGeom prst="rect">
                      <a:avLst/>
                    </a:prstGeom>
                  </pic:spPr>
                </pic:pic>
              </a:graphicData>
            </a:graphic>
          </wp:inline>
        </w:drawing>
      </w:r>
    </w:p>
    <w:p w:rsidR="00400BE1" w:rsidRDefault="003C067D">
      <w:pPr>
        <w:spacing w:before="80" w:after="240"/>
        <w:jc w:val="center"/>
      </w:pPr>
      <w:r>
        <w:rPr>
          <w:i/>
          <w:iCs/>
          <w:color w:val="1A3A5C"/>
        </w:rPr>
        <w:t xml:space="preserve">Figure </w:t>
      </w:r>
      <w:proofErr w:type="gramStart"/>
      <w:r>
        <w:rPr>
          <w:i/>
          <w:iCs/>
          <w:color w:val="1A3A5C"/>
        </w:rPr>
        <w:t>6 :</w:t>
      </w:r>
      <w:proofErr w:type="gramEnd"/>
      <w:r>
        <w:rPr>
          <w:i/>
          <w:iCs/>
          <w:color w:val="1A3A5C"/>
        </w:rPr>
        <w:t xml:space="preserve"> Lift coefficient </w:t>
      </w:r>
      <w:proofErr w:type="spellStart"/>
      <w:r>
        <w:rPr>
          <w:i/>
          <w:iCs/>
          <w:color w:val="1A3A5C"/>
        </w:rPr>
        <w:t>vs</w:t>
      </w:r>
      <w:proofErr w:type="spellEnd"/>
      <w:r>
        <w:rPr>
          <w:i/>
          <w:iCs/>
          <w:color w:val="1A3A5C"/>
        </w:rPr>
        <w:t xml:space="preserve"> ground clearance ratio (h/c), </w:t>
      </w:r>
      <w:r>
        <w:rPr>
          <w:i/>
          <w:iCs/>
          <w:color w:val="1A3A5C"/>
        </w:rPr>
        <w:t>with the real F1 ride-height range shaded.</w:t>
      </w:r>
    </w:p>
    <w:p w:rsidR="00400BE1" w:rsidRDefault="003C067D">
      <w:pPr>
        <w:spacing w:after="160" w:line="276" w:lineRule="auto"/>
        <w:jc w:val="both"/>
      </w:pPr>
      <w:r>
        <w:rPr>
          <w:color w:val="333333"/>
          <w:sz w:val="22"/>
          <w:szCs w:val="22"/>
        </w:rPr>
        <w:t xml:space="preserve">Drag decreases consistently as h/c decreases (Figure 7), from Cd = 0.0247 at h/c = 1.0 to Cd = 0.0180 at h/c = 0.1, a 27% reduction. This is explained by the </w:t>
      </w:r>
      <w:proofErr w:type="spellStart"/>
      <w:r>
        <w:rPr>
          <w:color w:val="333333"/>
          <w:sz w:val="22"/>
          <w:szCs w:val="22"/>
        </w:rPr>
        <w:t>inviscid</w:t>
      </w:r>
      <w:proofErr w:type="spellEnd"/>
      <w:r>
        <w:rPr>
          <w:color w:val="333333"/>
          <w:sz w:val="22"/>
          <w:szCs w:val="22"/>
        </w:rPr>
        <w:t xml:space="preserve"> nature of the VLM2 solver: with no viscous dra</w:t>
      </w:r>
      <w:r>
        <w:rPr>
          <w:color w:val="333333"/>
          <w:sz w:val="22"/>
          <w:szCs w:val="22"/>
        </w:rPr>
        <w:t xml:space="preserve">g modelled, computed drag here is entirely induced drag, a function of </w:t>
      </w:r>
      <w:proofErr w:type="spellStart"/>
      <w:r>
        <w:rPr>
          <w:color w:val="333333"/>
          <w:sz w:val="22"/>
          <w:szCs w:val="22"/>
        </w:rPr>
        <w:t>spanwise</w:t>
      </w:r>
      <w:proofErr w:type="spellEnd"/>
      <w:r>
        <w:rPr>
          <w:color w:val="333333"/>
          <w:sz w:val="22"/>
          <w:szCs w:val="22"/>
        </w:rPr>
        <w:t xml:space="preserve"> lift distribution and effective aspect ratio. The ground plane behaves similarly to an image-effect wing extension, increasing effective aspect ratio and reducing wingtip vorte</w:t>
      </w:r>
      <w:r>
        <w:rPr>
          <w:color w:val="333333"/>
          <w:sz w:val="22"/>
          <w:szCs w:val="22"/>
        </w:rPr>
        <w:t>x strength, which lowers induced drag even as lift rises. In real, viscous flow this trend would be partially offset by increased skin friction and pressure drag from the accelerated flow beneath the wing — which is why Module 1's viscous section data is p</w:t>
      </w:r>
      <w:r>
        <w:rPr>
          <w:color w:val="333333"/>
          <w:sz w:val="22"/>
          <w:szCs w:val="22"/>
        </w:rPr>
        <w:t>resented separately rather than combined into this result.</w:t>
      </w:r>
    </w:p>
    <w:p w:rsidR="00400BE1" w:rsidRDefault="003C067D">
      <w:pPr>
        <w:spacing w:before="200"/>
        <w:jc w:val="center"/>
      </w:pPr>
      <w:r>
        <w:rPr>
          <w:noProof/>
        </w:rPr>
        <w:lastRenderedPageBreak/>
        <w:drawing>
          <wp:inline distT="0" distB="0" distL="0" distR="0">
            <wp:extent cx="438150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743200"/>
                    </a:xfrm>
                    <a:prstGeom prst="rect">
                      <a:avLst/>
                    </a:prstGeom>
                  </pic:spPr>
                </pic:pic>
              </a:graphicData>
            </a:graphic>
          </wp:inline>
        </w:drawing>
      </w:r>
    </w:p>
    <w:p w:rsidR="00400BE1" w:rsidRDefault="003C067D">
      <w:pPr>
        <w:spacing w:before="80" w:after="240"/>
        <w:jc w:val="center"/>
      </w:pPr>
      <w:r>
        <w:rPr>
          <w:i/>
          <w:iCs/>
          <w:color w:val="1A3A5C"/>
        </w:rPr>
        <w:t xml:space="preserve">Figure </w:t>
      </w:r>
      <w:proofErr w:type="gramStart"/>
      <w:r>
        <w:rPr>
          <w:i/>
          <w:iCs/>
          <w:color w:val="1A3A5C"/>
        </w:rPr>
        <w:t>7 :</w:t>
      </w:r>
      <w:proofErr w:type="gramEnd"/>
      <w:r>
        <w:rPr>
          <w:i/>
          <w:iCs/>
          <w:color w:val="1A3A5C"/>
        </w:rPr>
        <w:t xml:space="preserve"> Drag coefficient </w:t>
      </w:r>
      <w:proofErr w:type="spellStart"/>
      <w:r>
        <w:rPr>
          <w:i/>
          <w:iCs/>
          <w:color w:val="1A3A5C"/>
        </w:rPr>
        <w:t>vs</w:t>
      </w:r>
      <w:proofErr w:type="spellEnd"/>
      <w:r>
        <w:rPr>
          <w:i/>
          <w:iCs/>
          <w:color w:val="1A3A5C"/>
        </w:rPr>
        <w:t xml:space="preserve"> ground clearance ratio (h/c).</w:t>
      </w:r>
    </w:p>
    <w:p w:rsidR="00400BE1" w:rsidRDefault="003C067D">
      <w:pPr>
        <w:spacing w:before="200"/>
        <w:jc w:val="center"/>
      </w:pPr>
      <w:r>
        <w:rPr>
          <w:noProof/>
        </w:rPr>
        <w:drawing>
          <wp:inline distT="0" distB="0" distL="0" distR="0">
            <wp:extent cx="43815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857500"/>
                    </a:xfrm>
                    <a:prstGeom prst="rect">
                      <a:avLst/>
                    </a:prstGeom>
                  </pic:spPr>
                </pic:pic>
              </a:graphicData>
            </a:graphic>
          </wp:inline>
        </w:drawing>
      </w:r>
    </w:p>
    <w:p w:rsidR="00400BE1" w:rsidRDefault="003C067D">
      <w:pPr>
        <w:spacing w:before="80" w:after="240"/>
        <w:jc w:val="center"/>
      </w:pPr>
      <w:r>
        <w:rPr>
          <w:i/>
          <w:iCs/>
          <w:color w:val="1A3A5C"/>
        </w:rPr>
        <w:t xml:space="preserve">Figure </w:t>
      </w:r>
      <w:proofErr w:type="gramStart"/>
      <w:r>
        <w:rPr>
          <w:i/>
          <w:iCs/>
          <w:color w:val="1A3A5C"/>
        </w:rPr>
        <w:t>8 :</w:t>
      </w:r>
      <w:proofErr w:type="gramEnd"/>
      <w:r>
        <w:rPr>
          <w:i/>
          <w:iCs/>
          <w:color w:val="1A3A5C"/>
        </w:rPr>
        <w:t xml:space="preserve"> Combined lift and drag trends </w:t>
      </w:r>
      <w:proofErr w:type="spellStart"/>
      <w:r>
        <w:rPr>
          <w:i/>
          <w:iCs/>
          <w:color w:val="1A3A5C"/>
        </w:rPr>
        <w:t>vs</w:t>
      </w:r>
      <w:proofErr w:type="spellEnd"/>
      <w:r>
        <w:rPr>
          <w:i/>
          <w:iCs/>
          <w:color w:val="1A3A5C"/>
        </w:rPr>
        <w:t xml:space="preserve"> ground clearance ratio (dual axis).</w:t>
      </w:r>
    </w:p>
    <w:p w:rsidR="00400BE1" w:rsidRDefault="003C067D">
      <w:pPr>
        <w:pStyle w:val="Heading2"/>
        <w:spacing w:before="300" w:after="150"/>
      </w:pPr>
      <w:r>
        <w:rPr>
          <w:b/>
          <w:bCs/>
          <w:color w:val="1A3A5C"/>
          <w:sz w:val="24"/>
          <w:szCs w:val="24"/>
        </w:rPr>
        <w:t>5.2 Aerodynamic Efficiency</w:t>
      </w:r>
    </w:p>
    <w:p w:rsidR="00400BE1" w:rsidRDefault="003C067D">
      <w:pPr>
        <w:spacing w:after="160" w:line="276" w:lineRule="auto"/>
        <w:jc w:val="both"/>
      </w:pPr>
      <w:r>
        <w:rPr>
          <w:color w:val="333333"/>
          <w:sz w:val="22"/>
          <w:szCs w:val="22"/>
        </w:rPr>
        <w:t>Aerodynamic efficiency ri</w:t>
      </w:r>
      <w:r>
        <w:rPr>
          <w:color w:val="333333"/>
          <w:sz w:val="22"/>
          <w:szCs w:val="22"/>
        </w:rPr>
        <w:t xml:space="preserve">ses dramatically through the sweep, from </w:t>
      </w:r>
      <w:proofErr w:type="spellStart"/>
      <w:r>
        <w:rPr>
          <w:color w:val="333333"/>
          <w:sz w:val="22"/>
          <w:szCs w:val="22"/>
        </w:rPr>
        <w:t>Cl</w:t>
      </w:r>
      <w:proofErr w:type="spellEnd"/>
      <w:r>
        <w:rPr>
          <w:color w:val="333333"/>
          <w:sz w:val="22"/>
          <w:szCs w:val="22"/>
        </w:rPr>
        <w:t xml:space="preserve">/Cd = 38.1 at h/c = 1.0 to </w:t>
      </w:r>
      <w:proofErr w:type="spellStart"/>
      <w:r>
        <w:rPr>
          <w:color w:val="333333"/>
          <w:sz w:val="22"/>
          <w:szCs w:val="22"/>
        </w:rPr>
        <w:t>Cl</w:t>
      </w:r>
      <w:proofErr w:type="spellEnd"/>
      <w:r>
        <w:rPr>
          <w:color w:val="333333"/>
          <w:sz w:val="22"/>
          <w:szCs w:val="22"/>
        </w:rPr>
        <w:t>/Cd = 96.4 at h/c = 0.1 — a 2.5x improvement (Figure 9). Because the lift gain and drag reduction trends compound in the same direction as h/c decreases, this efficiency curve rises fa</w:t>
      </w:r>
      <w:r>
        <w:rPr>
          <w:color w:val="333333"/>
          <w:sz w:val="22"/>
          <w:szCs w:val="22"/>
        </w:rPr>
        <w:t>ster than either individual trend, underscoring why ground effect is aerodynamically prized rather than merely tolerated: it is one of the few regimes in which a vehicle can simultaneously gain performance and reduce drag penalty through geometry alone.</w:t>
      </w:r>
    </w:p>
    <w:p w:rsidR="00400BE1" w:rsidRDefault="003C067D">
      <w:pPr>
        <w:spacing w:before="200"/>
        <w:jc w:val="center"/>
      </w:pPr>
      <w:r>
        <w:rPr>
          <w:noProof/>
        </w:rPr>
        <w:lastRenderedPageBreak/>
        <w:drawing>
          <wp:inline distT="0" distB="0" distL="0" distR="0">
            <wp:extent cx="438150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743200"/>
                    </a:xfrm>
                    <a:prstGeom prst="rect">
                      <a:avLst/>
                    </a:prstGeom>
                  </pic:spPr>
                </pic:pic>
              </a:graphicData>
            </a:graphic>
          </wp:inline>
        </w:drawing>
      </w:r>
    </w:p>
    <w:p w:rsidR="00400BE1" w:rsidRDefault="003C067D">
      <w:pPr>
        <w:spacing w:before="80" w:after="240"/>
        <w:jc w:val="center"/>
      </w:pPr>
      <w:r>
        <w:rPr>
          <w:i/>
          <w:iCs/>
          <w:color w:val="1A3A5C"/>
        </w:rPr>
        <w:t xml:space="preserve">Figure </w:t>
      </w:r>
      <w:proofErr w:type="gramStart"/>
      <w:r>
        <w:rPr>
          <w:i/>
          <w:iCs/>
          <w:color w:val="1A3A5C"/>
        </w:rPr>
        <w:t>9 :</w:t>
      </w:r>
      <w:proofErr w:type="gramEnd"/>
      <w:r>
        <w:rPr>
          <w:i/>
          <w:iCs/>
          <w:color w:val="1A3A5C"/>
        </w:rPr>
        <w:t xml:space="preserve"> Aerodynamic efficiency (</w:t>
      </w:r>
      <w:proofErr w:type="spellStart"/>
      <w:r>
        <w:rPr>
          <w:i/>
          <w:iCs/>
          <w:color w:val="1A3A5C"/>
        </w:rPr>
        <w:t>Cl</w:t>
      </w:r>
      <w:proofErr w:type="spellEnd"/>
      <w:r>
        <w:rPr>
          <w:i/>
          <w:iCs/>
          <w:color w:val="1A3A5C"/>
        </w:rPr>
        <w:t xml:space="preserve">/Cd) </w:t>
      </w:r>
      <w:proofErr w:type="spellStart"/>
      <w:r>
        <w:rPr>
          <w:i/>
          <w:iCs/>
          <w:color w:val="1A3A5C"/>
        </w:rPr>
        <w:t>vs</w:t>
      </w:r>
      <w:proofErr w:type="spellEnd"/>
      <w:r>
        <w:rPr>
          <w:i/>
          <w:iCs/>
          <w:color w:val="1A3A5C"/>
        </w:rPr>
        <w:t xml:space="preserve"> ground clearance ratio.</w:t>
      </w:r>
    </w:p>
    <w:p w:rsidR="00400BE1" w:rsidRDefault="003C067D">
      <w:pPr>
        <w:spacing w:after="160" w:line="276" w:lineRule="auto"/>
        <w:jc w:val="both"/>
      </w:pPr>
      <w:r>
        <w:rPr>
          <w:color w:val="333333"/>
          <w:sz w:val="22"/>
          <w:szCs w:val="22"/>
        </w:rPr>
        <w:t xml:space="preserve">Plotting Cd against </w:t>
      </w:r>
      <w:proofErr w:type="spellStart"/>
      <w:r>
        <w:rPr>
          <w:color w:val="333333"/>
          <w:sz w:val="22"/>
          <w:szCs w:val="22"/>
        </w:rPr>
        <w:t>Cl</w:t>
      </w:r>
      <w:proofErr w:type="spellEnd"/>
      <w:r>
        <w:rPr>
          <w:color w:val="333333"/>
          <w:sz w:val="22"/>
          <w:szCs w:val="22"/>
        </w:rPr>
        <w:t xml:space="preserve"> with each point </w:t>
      </w:r>
      <w:proofErr w:type="spellStart"/>
      <w:r>
        <w:rPr>
          <w:color w:val="333333"/>
          <w:sz w:val="22"/>
          <w:szCs w:val="22"/>
        </w:rPr>
        <w:t>coloured</w:t>
      </w:r>
      <w:proofErr w:type="spellEnd"/>
      <w:r>
        <w:rPr>
          <w:color w:val="333333"/>
          <w:sz w:val="22"/>
          <w:szCs w:val="22"/>
        </w:rPr>
        <w:t xml:space="preserve"> by its h/c value (Figure 10) traces the aerodynamic path the wing follows as it approaches the ground — an h/c-</w:t>
      </w:r>
      <w:proofErr w:type="spellStart"/>
      <w:r>
        <w:rPr>
          <w:color w:val="333333"/>
          <w:sz w:val="22"/>
          <w:szCs w:val="22"/>
        </w:rPr>
        <w:t>parametrised</w:t>
      </w:r>
      <w:proofErr w:type="spellEnd"/>
      <w:r>
        <w:rPr>
          <w:color w:val="333333"/>
          <w:sz w:val="22"/>
          <w:szCs w:val="22"/>
        </w:rPr>
        <w:t xml:space="preserve"> polar rather th</w:t>
      </w:r>
      <w:r>
        <w:rPr>
          <w:color w:val="333333"/>
          <w:sz w:val="22"/>
          <w:szCs w:val="22"/>
        </w:rPr>
        <w:t>an a conventional alpha-</w:t>
      </w:r>
      <w:proofErr w:type="spellStart"/>
      <w:r>
        <w:rPr>
          <w:color w:val="333333"/>
          <w:sz w:val="22"/>
          <w:szCs w:val="22"/>
        </w:rPr>
        <w:t>parametrised</w:t>
      </w:r>
      <w:proofErr w:type="spellEnd"/>
      <w:r>
        <w:rPr>
          <w:color w:val="333333"/>
          <w:sz w:val="22"/>
          <w:szCs w:val="22"/>
        </w:rPr>
        <w:t xml:space="preserve"> one. The near-monotonic path moving consistently up and to the left (increasing </w:t>
      </w:r>
      <w:proofErr w:type="spellStart"/>
      <w:r>
        <w:rPr>
          <w:color w:val="333333"/>
          <w:sz w:val="22"/>
          <w:szCs w:val="22"/>
        </w:rPr>
        <w:t>Cl</w:t>
      </w:r>
      <w:proofErr w:type="spellEnd"/>
      <w:r>
        <w:rPr>
          <w:color w:val="333333"/>
          <w:sz w:val="22"/>
          <w:szCs w:val="22"/>
        </w:rPr>
        <w:t xml:space="preserve">, decreasing Cd) confirms there is no adverse trade-off anywhere in the tested h/c range within the limits of the </w:t>
      </w:r>
      <w:proofErr w:type="spellStart"/>
      <w:r>
        <w:rPr>
          <w:color w:val="333333"/>
          <w:sz w:val="22"/>
          <w:szCs w:val="22"/>
        </w:rPr>
        <w:t>inviscid</w:t>
      </w:r>
      <w:proofErr w:type="spellEnd"/>
      <w:r>
        <w:rPr>
          <w:color w:val="333333"/>
          <w:sz w:val="22"/>
          <w:szCs w:val="22"/>
        </w:rPr>
        <w:t xml:space="preserve"> model.</w:t>
      </w:r>
    </w:p>
    <w:p w:rsidR="00400BE1" w:rsidRDefault="003C067D">
      <w:pPr>
        <w:spacing w:before="200"/>
        <w:jc w:val="center"/>
      </w:pPr>
      <w:r>
        <w:rPr>
          <w:noProof/>
        </w:rPr>
        <w:drawing>
          <wp:inline distT="0" distB="0" distL="0" distR="0">
            <wp:extent cx="4000500" cy="285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2857500"/>
                    </a:xfrm>
                    <a:prstGeom prst="rect">
                      <a:avLst/>
                    </a:prstGeom>
                  </pic:spPr>
                </pic:pic>
              </a:graphicData>
            </a:graphic>
          </wp:inline>
        </w:drawing>
      </w:r>
    </w:p>
    <w:p w:rsidR="00400BE1" w:rsidRDefault="003C067D">
      <w:pPr>
        <w:spacing w:before="80" w:after="240"/>
        <w:jc w:val="center"/>
      </w:pPr>
      <w:r>
        <w:rPr>
          <w:i/>
          <w:iCs/>
          <w:color w:val="1A3A5C"/>
        </w:rPr>
        <w:t>Figur</w:t>
      </w:r>
      <w:r>
        <w:rPr>
          <w:i/>
          <w:iCs/>
          <w:color w:val="1A3A5C"/>
        </w:rPr>
        <w:t xml:space="preserve">e </w:t>
      </w:r>
      <w:proofErr w:type="gramStart"/>
      <w:r>
        <w:rPr>
          <w:i/>
          <w:iCs/>
          <w:color w:val="1A3A5C"/>
        </w:rPr>
        <w:t>10 :</w:t>
      </w:r>
      <w:proofErr w:type="gramEnd"/>
      <w:r>
        <w:rPr>
          <w:i/>
          <w:iCs/>
          <w:color w:val="1A3A5C"/>
        </w:rPr>
        <w:t xml:space="preserve"> Drag polar </w:t>
      </w:r>
      <w:proofErr w:type="spellStart"/>
      <w:r>
        <w:rPr>
          <w:i/>
          <w:iCs/>
          <w:color w:val="1A3A5C"/>
        </w:rPr>
        <w:t>parametrised</w:t>
      </w:r>
      <w:proofErr w:type="spellEnd"/>
      <w:r>
        <w:rPr>
          <w:i/>
          <w:iCs/>
          <w:color w:val="1A3A5C"/>
        </w:rPr>
        <w:t xml:space="preserve"> by ground clearance ratio (h/c) rather than angle of attack.</w:t>
      </w:r>
    </w:p>
    <w:p w:rsidR="00400BE1" w:rsidRDefault="003C067D">
      <w:pPr>
        <w:pStyle w:val="Heading2"/>
        <w:spacing w:before="300" w:after="150"/>
      </w:pPr>
      <w:r>
        <w:rPr>
          <w:b/>
          <w:bCs/>
          <w:color w:val="1A3A5C"/>
          <w:sz w:val="24"/>
          <w:szCs w:val="24"/>
        </w:rPr>
        <w:t>5.3 Sensitivity Analysis</w:t>
      </w:r>
    </w:p>
    <w:p w:rsidR="00400BE1" w:rsidRDefault="003C067D">
      <w:pPr>
        <w:spacing w:after="160" w:line="276" w:lineRule="auto"/>
        <w:jc w:val="both"/>
      </w:pPr>
      <w:r>
        <w:rPr>
          <w:color w:val="333333"/>
          <w:sz w:val="22"/>
          <w:szCs w:val="22"/>
        </w:rPr>
        <w:t xml:space="preserve">The sensitivity of </w:t>
      </w:r>
      <w:proofErr w:type="spellStart"/>
      <w:r>
        <w:rPr>
          <w:color w:val="333333"/>
          <w:sz w:val="22"/>
          <w:szCs w:val="22"/>
        </w:rPr>
        <w:t>Cl</w:t>
      </w:r>
      <w:proofErr w:type="spellEnd"/>
      <w:r>
        <w:rPr>
          <w:color w:val="333333"/>
          <w:sz w:val="22"/>
          <w:szCs w:val="22"/>
        </w:rPr>
        <w:t xml:space="preserve"> to h/c reduction increases by roughly an order of magnitude across the tested range, rising from approximately 0.07 (</w:t>
      </w:r>
      <w:r>
        <w:rPr>
          <w:color w:val="333333"/>
          <w:sz w:val="22"/>
          <w:szCs w:val="22"/>
        </w:rPr>
        <w:t xml:space="preserve">h/c 1.0→0.5) to 4.0 (h/c 0.2→0.1) per unit reduction in h/c. This has a direct design implication: at large ride heights, small manufacturing or setup variations in wing height have negligible aerodynamic consequence, but at the very low ride heights used </w:t>
      </w:r>
      <w:r>
        <w:rPr>
          <w:color w:val="333333"/>
          <w:sz w:val="22"/>
          <w:szCs w:val="22"/>
        </w:rPr>
        <w:t xml:space="preserve">in real F1 operation, </w:t>
      </w:r>
      <w:proofErr w:type="spellStart"/>
      <w:r>
        <w:rPr>
          <w:color w:val="333333"/>
          <w:sz w:val="22"/>
          <w:szCs w:val="22"/>
        </w:rPr>
        <w:t>millimetre</w:t>
      </w:r>
      <w:proofErr w:type="spellEnd"/>
      <w:r>
        <w:rPr>
          <w:color w:val="333333"/>
          <w:sz w:val="22"/>
          <w:szCs w:val="22"/>
        </w:rPr>
        <w:t xml:space="preserve">-scale changes </w:t>
      </w:r>
      <w:r>
        <w:rPr>
          <w:color w:val="333333"/>
          <w:sz w:val="22"/>
          <w:szCs w:val="22"/>
        </w:rPr>
        <w:lastRenderedPageBreak/>
        <w:t xml:space="preserve">in ground clearance produce disproportionately large changes in </w:t>
      </w:r>
      <w:proofErr w:type="spellStart"/>
      <w:r>
        <w:rPr>
          <w:color w:val="333333"/>
          <w:sz w:val="22"/>
          <w:szCs w:val="22"/>
        </w:rPr>
        <w:t>downforce</w:t>
      </w:r>
      <w:proofErr w:type="spellEnd"/>
      <w:r>
        <w:rPr>
          <w:color w:val="333333"/>
          <w:sz w:val="22"/>
          <w:szCs w:val="22"/>
        </w:rPr>
        <w:t xml:space="preserve"> — which is exactly why ride-height control and floor/wing stiffness are such tightly engineered aspects of a real F1 car's aerodynamic </w:t>
      </w:r>
      <w:r>
        <w:rPr>
          <w:color w:val="333333"/>
          <w:sz w:val="22"/>
          <w:szCs w:val="22"/>
        </w:rPr>
        <w:t>platform.</w:t>
      </w:r>
    </w:p>
    <w:p w:rsidR="00400BE1" w:rsidRDefault="003C067D">
      <w:pPr>
        <w:spacing w:before="200"/>
        <w:jc w:val="center"/>
      </w:pPr>
      <w:r>
        <w:rPr>
          <w:noProof/>
        </w:rPr>
        <w:drawing>
          <wp:inline distT="0" distB="0" distL="0" distR="0">
            <wp:extent cx="45720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3429000"/>
                    </a:xfrm>
                    <a:prstGeom prst="rect">
                      <a:avLst/>
                    </a:prstGeom>
                  </pic:spPr>
                </pic:pic>
              </a:graphicData>
            </a:graphic>
          </wp:inline>
        </w:drawing>
      </w:r>
    </w:p>
    <w:p w:rsidR="00400BE1" w:rsidRDefault="003C067D">
      <w:pPr>
        <w:spacing w:before="80" w:after="240"/>
        <w:jc w:val="center"/>
      </w:pPr>
      <w:r>
        <w:rPr>
          <w:i/>
          <w:iCs/>
          <w:color w:val="1A3A5C"/>
        </w:rPr>
        <w:t xml:space="preserve">Figure </w:t>
      </w:r>
      <w:proofErr w:type="gramStart"/>
      <w:r>
        <w:rPr>
          <w:i/>
          <w:iCs/>
          <w:color w:val="1A3A5C"/>
        </w:rPr>
        <w:t>11 :</w:t>
      </w:r>
      <w:proofErr w:type="gramEnd"/>
      <w:r>
        <w:rPr>
          <w:i/>
          <w:iCs/>
          <w:color w:val="1A3A5C"/>
        </w:rPr>
        <w:t xml:space="preserve"> Combined summary dashboard — </w:t>
      </w:r>
      <w:proofErr w:type="spellStart"/>
      <w:r>
        <w:rPr>
          <w:i/>
          <w:iCs/>
          <w:color w:val="1A3A5C"/>
        </w:rPr>
        <w:t>Cl</w:t>
      </w:r>
      <w:proofErr w:type="spellEnd"/>
      <w:r>
        <w:rPr>
          <w:i/>
          <w:iCs/>
          <w:color w:val="1A3A5C"/>
        </w:rPr>
        <w:t>, Cd, efficiency, and drag polar across the full h/c sweep.</w:t>
      </w:r>
    </w:p>
    <w:p w:rsidR="00400BE1" w:rsidRDefault="003C067D">
      <w:r>
        <w:br w:type="page"/>
      </w:r>
    </w:p>
    <w:p w:rsidR="00400BE1" w:rsidRDefault="003C067D">
      <w:pPr>
        <w:pStyle w:val="Heading1"/>
        <w:pBdr>
          <w:bottom w:val="single" w:sz="12" w:space="4" w:color="B8860B"/>
        </w:pBdr>
        <w:spacing w:before="400" w:after="200"/>
      </w:pPr>
      <w:r>
        <w:rPr>
          <w:b/>
          <w:bCs/>
          <w:color w:val="1A3A5C"/>
          <w:sz w:val="30"/>
          <w:szCs w:val="30"/>
        </w:rPr>
        <w:lastRenderedPageBreak/>
        <w:t>6. Discussion</w:t>
      </w:r>
    </w:p>
    <w:p w:rsidR="00400BE1" w:rsidRDefault="003C067D">
      <w:pPr>
        <w:pStyle w:val="Heading2"/>
        <w:spacing w:before="300" w:after="150"/>
      </w:pPr>
      <w:r>
        <w:rPr>
          <w:b/>
          <w:bCs/>
          <w:color w:val="1A3A5C"/>
          <w:sz w:val="24"/>
          <w:szCs w:val="24"/>
        </w:rPr>
        <w:t>6.1 Physical Mechanisms</w:t>
      </w:r>
    </w:p>
    <w:p w:rsidR="00400BE1" w:rsidRDefault="003C067D">
      <w:pPr>
        <w:spacing w:after="160" w:line="276" w:lineRule="auto"/>
        <w:jc w:val="both"/>
      </w:pPr>
      <w:r>
        <w:rPr>
          <w:color w:val="333333"/>
          <w:sz w:val="22"/>
          <w:szCs w:val="22"/>
        </w:rPr>
        <w:t>Two distinct physical regimes are captured across the two modules. Module 1 isolates the section's fu</w:t>
      </w:r>
      <w:r>
        <w:rPr>
          <w:color w:val="333333"/>
          <w:sz w:val="22"/>
          <w:szCs w:val="22"/>
        </w:rPr>
        <w:t xml:space="preserve">ndamental viscous performance — boundary layer development, transition, and separation — independent of any 3D or proximity effects, governing the lift curve slope, drag bucket, and stall characteristics observed. Module 2 isolates a largely geometric, </w:t>
      </w:r>
      <w:proofErr w:type="spellStart"/>
      <w:r>
        <w:rPr>
          <w:color w:val="333333"/>
          <w:sz w:val="22"/>
          <w:szCs w:val="22"/>
        </w:rPr>
        <w:t>inv</w:t>
      </w:r>
      <w:r>
        <w:rPr>
          <w:color w:val="333333"/>
          <w:sz w:val="22"/>
          <w:szCs w:val="22"/>
        </w:rPr>
        <w:t>iscid</w:t>
      </w:r>
      <w:proofErr w:type="spellEnd"/>
      <w:r>
        <w:rPr>
          <w:color w:val="333333"/>
          <w:sz w:val="22"/>
          <w:szCs w:val="22"/>
        </w:rPr>
        <w:t xml:space="preserve"> phenomenon: the constraint of the flow field by a nearby ground plane, captured through an image-plane vortex method. These mechanisms are complementary rather than competing — in a physical wing, both operate simultaneously, with total performance r</w:t>
      </w:r>
      <w:r>
        <w:rPr>
          <w:color w:val="333333"/>
          <w:sz w:val="22"/>
          <w:szCs w:val="22"/>
        </w:rPr>
        <w:t xml:space="preserve">eflecting some combination of the viscous section </w:t>
      </w:r>
      <w:proofErr w:type="spellStart"/>
      <w:r>
        <w:rPr>
          <w:color w:val="333333"/>
          <w:sz w:val="22"/>
          <w:szCs w:val="22"/>
        </w:rPr>
        <w:t>behaviour</w:t>
      </w:r>
      <w:proofErr w:type="spellEnd"/>
      <w:r>
        <w:rPr>
          <w:color w:val="333333"/>
          <w:sz w:val="22"/>
          <w:szCs w:val="22"/>
        </w:rPr>
        <w:t xml:space="preserve"> established in Module 1 and the </w:t>
      </w:r>
      <w:proofErr w:type="spellStart"/>
      <w:r>
        <w:rPr>
          <w:color w:val="333333"/>
          <w:sz w:val="22"/>
          <w:szCs w:val="22"/>
        </w:rPr>
        <w:t>inviscid</w:t>
      </w:r>
      <w:proofErr w:type="spellEnd"/>
      <w:r>
        <w:rPr>
          <w:color w:val="333333"/>
          <w:sz w:val="22"/>
          <w:szCs w:val="22"/>
        </w:rPr>
        <w:t xml:space="preserve"> proximity augmentation established in Module 2.</w:t>
      </w:r>
    </w:p>
    <w:p w:rsidR="00400BE1" w:rsidRDefault="003C067D">
      <w:pPr>
        <w:pStyle w:val="Heading2"/>
        <w:spacing w:before="300" w:after="150"/>
      </w:pPr>
      <w:r>
        <w:rPr>
          <w:b/>
          <w:bCs/>
          <w:color w:val="1A3A5C"/>
          <w:sz w:val="24"/>
          <w:szCs w:val="24"/>
        </w:rPr>
        <w:t>6.2 Design Implications for F1 Front Wings</w:t>
      </w:r>
    </w:p>
    <w:p w:rsidR="00400BE1" w:rsidRDefault="003C067D">
      <w:pPr>
        <w:spacing w:after="160" w:line="276" w:lineRule="auto"/>
        <w:jc w:val="both"/>
      </w:pPr>
      <w:r>
        <w:rPr>
          <w:color w:val="333333"/>
          <w:sz w:val="22"/>
          <w:szCs w:val="22"/>
        </w:rPr>
        <w:t>The accelerating, non-linear lift gain observed as h/c decreases below approximately 0.3 explains why front wings are deliberately operated at very low ride heights despite the mechanical and regulatory complexity this introduces. It also explains why ride</w:t>
      </w:r>
      <w:r>
        <w:rPr>
          <w:color w:val="333333"/>
          <w:sz w:val="22"/>
          <w:szCs w:val="22"/>
        </w:rPr>
        <w:t xml:space="preserve">-height sensitivity is such a critical setup and structural design parameter: a car whose front wing height varies under load (through suspension compression, aerodynamic loading, or track undulation) will see disproportionately large swings in </w:t>
      </w:r>
      <w:proofErr w:type="spellStart"/>
      <w:r>
        <w:rPr>
          <w:color w:val="333333"/>
          <w:sz w:val="22"/>
          <w:szCs w:val="22"/>
        </w:rPr>
        <w:t>downforce</w:t>
      </w:r>
      <w:proofErr w:type="spellEnd"/>
      <w:r>
        <w:rPr>
          <w:color w:val="333333"/>
          <w:sz w:val="22"/>
          <w:szCs w:val="22"/>
        </w:rPr>
        <w:t xml:space="preserve"> p</w:t>
      </w:r>
      <w:r>
        <w:rPr>
          <w:color w:val="333333"/>
          <w:sz w:val="22"/>
          <w:szCs w:val="22"/>
        </w:rPr>
        <w:t>recisely in the regime where the wing normally operates — motivating the very stiff, tightly controlled front-wing and floor assemblies seen on real F1 cars.</w:t>
      </w:r>
    </w:p>
    <w:p w:rsidR="00400BE1" w:rsidRDefault="003C067D">
      <w:pPr>
        <w:pStyle w:val="Heading2"/>
        <w:spacing w:before="300" w:after="150"/>
      </w:pPr>
      <w:r>
        <w:rPr>
          <w:b/>
          <w:bCs/>
          <w:color w:val="1A3A5C"/>
          <w:sz w:val="24"/>
          <w:szCs w:val="24"/>
        </w:rPr>
        <w:t>6.3 Limitations</w:t>
      </w:r>
    </w:p>
    <w:p w:rsidR="00400BE1" w:rsidRDefault="003C067D">
      <w:pPr>
        <w:pStyle w:val="ListParagraph"/>
        <w:numPr>
          <w:ilvl w:val="0"/>
          <w:numId w:val="2"/>
        </w:numPr>
        <w:spacing w:after="100"/>
      </w:pPr>
      <w:r>
        <w:rPr>
          <w:color w:val="333333"/>
          <w:sz w:val="22"/>
          <w:szCs w:val="22"/>
        </w:rPr>
        <w:t xml:space="preserve">VLM2 is an </w:t>
      </w:r>
      <w:proofErr w:type="spellStart"/>
      <w:r>
        <w:rPr>
          <w:color w:val="333333"/>
          <w:sz w:val="22"/>
          <w:szCs w:val="22"/>
        </w:rPr>
        <w:t>inviscid</w:t>
      </w:r>
      <w:proofErr w:type="spellEnd"/>
      <w:r>
        <w:rPr>
          <w:color w:val="333333"/>
          <w:sz w:val="22"/>
          <w:szCs w:val="22"/>
        </w:rPr>
        <w:t xml:space="preserve"> panel method; it does not model flow separation, viscous wake </w:t>
      </w:r>
      <w:r>
        <w:rPr>
          <w:color w:val="333333"/>
          <w:sz w:val="22"/>
          <w:szCs w:val="22"/>
        </w:rPr>
        <w:t>effects, or boundary-layer interaction with the physical ground surface, all of which are present in reality.</w:t>
      </w:r>
    </w:p>
    <w:p w:rsidR="00400BE1" w:rsidRDefault="003C067D">
      <w:pPr>
        <w:pStyle w:val="ListParagraph"/>
        <w:numPr>
          <w:ilvl w:val="0"/>
          <w:numId w:val="2"/>
        </w:numPr>
        <w:spacing w:after="100"/>
      </w:pPr>
      <w:r>
        <w:rPr>
          <w:color w:val="333333"/>
          <w:sz w:val="22"/>
          <w:szCs w:val="22"/>
        </w:rPr>
        <w:t xml:space="preserve">The steep </w:t>
      </w:r>
      <w:proofErr w:type="spellStart"/>
      <w:r>
        <w:rPr>
          <w:color w:val="333333"/>
          <w:sz w:val="22"/>
          <w:szCs w:val="22"/>
        </w:rPr>
        <w:t>Cl</w:t>
      </w:r>
      <w:proofErr w:type="spellEnd"/>
      <w:r>
        <w:rPr>
          <w:color w:val="333333"/>
          <w:sz w:val="22"/>
          <w:szCs w:val="22"/>
        </w:rPr>
        <w:t xml:space="preserve"> rise at h/c = 0.1 is qualitatively consistent with real ground effect but should be treated as indicative rather than a precise quant</w:t>
      </w:r>
      <w:r>
        <w:rPr>
          <w:color w:val="333333"/>
          <w:sz w:val="22"/>
          <w:szCs w:val="22"/>
        </w:rPr>
        <w:t>itative prediction, given the limitations of potential-flow theory at very small clearances.</w:t>
      </w:r>
    </w:p>
    <w:p w:rsidR="00400BE1" w:rsidRDefault="003C067D">
      <w:pPr>
        <w:pStyle w:val="ListParagraph"/>
        <w:numPr>
          <w:ilvl w:val="0"/>
          <w:numId w:val="2"/>
        </w:numPr>
        <w:spacing w:after="100"/>
      </w:pPr>
      <w:r>
        <w:rPr>
          <w:color w:val="333333"/>
          <w:sz w:val="22"/>
          <w:szCs w:val="22"/>
        </w:rPr>
        <w:t xml:space="preserve">The 2D and 3D studies were not run as a single coupled viscous-in-ground-effect analysis; their results </w:t>
      </w:r>
      <w:proofErr w:type="spellStart"/>
      <w:r>
        <w:rPr>
          <w:color w:val="333333"/>
          <w:sz w:val="22"/>
          <w:szCs w:val="22"/>
        </w:rPr>
        <w:t>characterise</w:t>
      </w:r>
      <w:proofErr w:type="spellEnd"/>
      <w:r>
        <w:rPr>
          <w:color w:val="333333"/>
          <w:sz w:val="22"/>
          <w:szCs w:val="22"/>
        </w:rPr>
        <w:t xml:space="preserve"> each phenomenon in isolation rather than in co</w:t>
      </w:r>
      <w:r>
        <w:rPr>
          <w:color w:val="333333"/>
          <w:sz w:val="22"/>
          <w:szCs w:val="22"/>
        </w:rPr>
        <w:t>mbination.</w:t>
      </w:r>
    </w:p>
    <w:p w:rsidR="00400BE1" w:rsidRDefault="003C067D">
      <w:pPr>
        <w:pStyle w:val="ListParagraph"/>
        <w:numPr>
          <w:ilvl w:val="0"/>
          <w:numId w:val="2"/>
        </w:numPr>
        <w:spacing w:after="100"/>
      </w:pPr>
      <w:r>
        <w:rPr>
          <w:color w:val="333333"/>
          <w:sz w:val="22"/>
          <w:szCs w:val="22"/>
        </w:rPr>
        <w:t xml:space="preserve">Only a single angle of attack (5°) was tested in the ground effect sweep; wing </w:t>
      </w:r>
      <w:proofErr w:type="spellStart"/>
      <w:r>
        <w:rPr>
          <w:color w:val="333333"/>
          <w:sz w:val="22"/>
          <w:szCs w:val="22"/>
        </w:rPr>
        <w:t>behaviour</w:t>
      </w:r>
      <w:proofErr w:type="spellEnd"/>
      <w:r>
        <w:rPr>
          <w:color w:val="333333"/>
          <w:sz w:val="22"/>
          <w:szCs w:val="22"/>
        </w:rPr>
        <w:t xml:space="preserve"> at other angles of attack in ground effect was not investigated in this study.</w:t>
      </w:r>
    </w:p>
    <w:p w:rsidR="00400BE1" w:rsidRDefault="003C067D">
      <w:pPr>
        <w:pStyle w:val="ListParagraph"/>
        <w:numPr>
          <w:ilvl w:val="0"/>
          <w:numId w:val="2"/>
        </w:numPr>
        <w:spacing w:after="100"/>
      </w:pPr>
      <w:r>
        <w:rPr>
          <w:color w:val="333333"/>
          <w:sz w:val="22"/>
          <w:szCs w:val="22"/>
        </w:rPr>
        <w:t>No 3D wingtip, endplate, or multi-element interaction effects were modelled —</w:t>
      </w:r>
      <w:r>
        <w:rPr>
          <w:color w:val="333333"/>
          <w:sz w:val="22"/>
          <w:szCs w:val="22"/>
        </w:rPr>
        <w:t xml:space="preserve"> the wing is treated as a simplified single-element </w:t>
      </w:r>
      <w:proofErr w:type="spellStart"/>
      <w:r>
        <w:rPr>
          <w:color w:val="333333"/>
          <w:sz w:val="22"/>
          <w:szCs w:val="22"/>
        </w:rPr>
        <w:t>planform</w:t>
      </w:r>
      <w:proofErr w:type="spellEnd"/>
      <w:r>
        <w:rPr>
          <w:color w:val="333333"/>
          <w:sz w:val="22"/>
          <w:szCs w:val="22"/>
        </w:rPr>
        <w:t>.</w:t>
      </w:r>
    </w:p>
    <w:p w:rsidR="00400BE1" w:rsidRDefault="003C067D">
      <w:r>
        <w:br w:type="page"/>
      </w:r>
    </w:p>
    <w:p w:rsidR="00400BE1" w:rsidRDefault="003C067D">
      <w:pPr>
        <w:pStyle w:val="Heading1"/>
        <w:pBdr>
          <w:bottom w:val="single" w:sz="12" w:space="4" w:color="B8860B"/>
        </w:pBdr>
        <w:spacing w:before="400" w:after="200"/>
      </w:pPr>
      <w:r>
        <w:rPr>
          <w:b/>
          <w:bCs/>
          <w:color w:val="1A3A5C"/>
          <w:sz w:val="30"/>
          <w:szCs w:val="30"/>
        </w:rPr>
        <w:lastRenderedPageBreak/>
        <w:t>7. Conclusions</w:t>
      </w:r>
    </w:p>
    <w:p w:rsidR="00400BE1" w:rsidRDefault="003C067D">
      <w:pPr>
        <w:pStyle w:val="ListParagraph"/>
        <w:numPr>
          <w:ilvl w:val="0"/>
          <w:numId w:val="2"/>
        </w:numPr>
        <w:spacing w:after="100"/>
      </w:pPr>
      <w:r>
        <w:rPr>
          <w:color w:val="333333"/>
          <w:sz w:val="22"/>
          <w:szCs w:val="22"/>
        </w:rPr>
        <w:t xml:space="preserve">The NACA 6412 section exhibits well-behaved 2D aerodynamic performance at Re = 1,000,000, with </w:t>
      </w:r>
      <w:proofErr w:type="spellStart"/>
      <w:r>
        <w:rPr>
          <w:color w:val="333333"/>
          <w:sz w:val="22"/>
          <w:szCs w:val="22"/>
        </w:rPr>
        <w:t>Cl</w:t>
      </w:r>
      <w:proofErr w:type="gramStart"/>
      <w:r>
        <w:rPr>
          <w:color w:val="333333"/>
          <w:sz w:val="22"/>
          <w:szCs w:val="22"/>
        </w:rPr>
        <w:t>,max</w:t>
      </w:r>
      <w:proofErr w:type="spellEnd"/>
      <w:proofErr w:type="gramEnd"/>
      <w:r>
        <w:rPr>
          <w:color w:val="333333"/>
          <w:sz w:val="22"/>
          <w:szCs w:val="22"/>
        </w:rPr>
        <w:t xml:space="preserve"> = 1.698 at α = 15.5°, </w:t>
      </w:r>
      <w:proofErr w:type="spellStart"/>
      <w:r>
        <w:rPr>
          <w:color w:val="333333"/>
          <w:sz w:val="22"/>
          <w:szCs w:val="22"/>
        </w:rPr>
        <w:t>Cd,min</w:t>
      </w:r>
      <w:proofErr w:type="spellEnd"/>
      <w:r>
        <w:rPr>
          <w:color w:val="333333"/>
          <w:sz w:val="22"/>
          <w:szCs w:val="22"/>
        </w:rPr>
        <w:t xml:space="preserve"> = 0.00724 at α = 2.5°, and peak efficiency </w:t>
      </w:r>
      <w:proofErr w:type="spellStart"/>
      <w:r>
        <w:rPr>
          <w:color w:val="333333"/>
          <w:sz w:val="22"/>
          <w:szCs w:val="22"/>
        </w:rPr>
        <w:t>Cl</w:t>
      </w:r>
      <w:proofErr w:type="spellEnd"/>
      <w:r>
        <w:rPr>
          <w:color w:val="333333"/>
          <w:sz w:val="22"/>
          <w:szCs w:val="22"/>
        </w:rPr>
        <w:t>/</w:t>
      </w:r>
      <w:r>
        <w:rPr>
          <w:color w:val="333333"/>
          <w:sz w:val="22"/>
          <w:szCs w:val="22"/>
        </w:rPr>
        <w:t>Cd = 147.2 at α = 6°, with a gentle, well-behaved stall characteristic suitable for a front wing application.</w:t>
      </w:r>
    </w:p>
    <w:p w:rsidR="00400BE1" w:rsidRDefault="003C067D">
      <w:pPr>
        <w:pStyle w:val="ListParagraph"/>
        <w:numPr>
          <w:ilvl w:val="0"/>
          <w:numId w:val="2"/>
        </w:numPr>
        <w:spacing w:after="100"/>
      </w:pPr>
      <w:r>
        <w:rPr>
          <w:color w:val="333333"/>
          <w:sz w:val="22"/>
          <w:szCs w:val="22"/>
        </w:rPr>
        <w:t>Ground effect produces a substantial, non-linear increase in lift coefficient as ground clearance decreases, rising 84% from h/c = 1.0 to h/c = 0.</w:t>
      </w:r>
      <w:r>
        <w:rPr>
          <w:color w:val="333333"/>
          <w:sz w:val="22"/>
          <w:szCs w:val="22"/>
        </w:rPr>
        <w:t>1 at a fixed 5° angle of attack, with the largest gains concentrated in the h/c &lt; 0.3 range closest to real F1 ride heights.</w:t>
      </w:r>
    </w:p>
    <w:p w:rsidR="00400BE1" w:rsidRDefault="003C067D">
      <w:pPr>
        <w:pStyle w:val="ListParagraph"/>
        <w:numPr>
          <w:ilvl w:val="0"/>
          <w:numId w:val="2"/>
        </w:numPr>
        <w:spacing w:after="100"/>
      </w:pPr>
      <w:r>
        <w:rPr>
          <w:color w:val="333333"/>
          <w:sz w:val="22"/>
          <w:szCs w:val="22"/>
        </w:rPr>
        <w:t xml:space="preserve">In the </w:t>
      </w:r>
      <w:proofErr w:type="spellStart"/>
      <w:r>
        <w:rPr>
          <w:color w:val="333333"/>
          <w:sz w:val="22"/>
          <w:szCs w:val="22"/>
        </w:rPr>
        <w:t>inviscid</w:t>
      </w:r>
      <w:proofErr w:type="spellEnd"/>
      <w:r>
        <w:rPr>
          <w:color w:val="333333"/>
          <w:sz w:val="22"/>
          <w:szCs w:val="22"/>
        </w:rPr>
        <w:t xml:space="preserve"> VLM2 model, drag coefficient falls simultaneously with the lift rise, an effect attributed to the ground plane's im</w:t>
      </w:r>
      <w:r>
        <w:rPr>
          <w:color w:val="333333"/>
          <w:sz w:val="22"/>
          <w:szCs w:val="22"/>
        </w:rPr>
        <w:t>age-effect increase in effective aspect ratio and consequent reduction in induced drag.</w:t>
      </w:r>
    </w:p>
    <w:p w:rsidR="00400BE1" w:rsidRDefault="003C067D">
      <w:pPr>
        <w:pStyle w:val="ListParagraph"/>
        <w:numPr>
          <w:ilvl w:val="0"/>
          <w:numId w:val="2"/>
        </w:numPr>
        <w:spacing w:after="100"/>
      </w:pPr>
      <w:r>
        <w:rPr>
          <w:color w:val="333333"/>
          <w:sz w:val="22"/>
          <w:szCs w:val="22"/>
        </w:rPr>
        <w:t>Aerodynamic efficiency (</w:t>
      </w:r>
      <w:proofErr w:type="spellStart"/>
      <w:r>
        <w:rPr>
          <w:color w:val="333333"/>
          <w:sz w:val="22"/>
          <w:szCs w:val="22"/>
        </w:rPr>
        <w:t>Cl</w:t>
      </w:r>
      <w:proofErr w:type="spellEnd"/>
      <w:r>
        <w:rPr>
          <w:color w:val="333333"/>
          <w:sz w:val="22"/>
          <w:szCs w:val="22"/>
        </w:rPr>
        <w:t>/Cd) more than doubles across the tested range, from 38.1 to 96.4, reinforcing why ground effect is deliberately exploited rather than inciden</w:t>
      </w:r>
      <w:r>
        <w:rPr>
          <w:color w:val="333333"/>
          <w:sz w:val="22"/>
          <w:szCs w:val="22"/>
        </w:rPr>
        <w:t>tally tolerated in race car aerodynamic design.</w:t>
      </w:r>
    </w:p>
    <w:p w:rsidR="00400BE1" w:rsidRDefault="003C067D">
      <w:pPr>
        <w:pStyle w:val="ListParagraph"/>
        <w:numPr>
          <w:ilvl w:val="0"/>
          <w:numId w:val="2"/>
        </w:numPr>
        <w:spacing w:after="100"/>
      </w:pPr>
      <w:r>
        <w:rPr>
          <w:color w:val="333333"/>
          <w:sz w:val="22"/>
          <w:szCs w:val="22"/>
        </w:rPr>
        <w:t>This study establishes a clean, reproducible, and honestly-scoped low-order aerodynamic baseline, intended as groundwork for a future higher-fidelity 3D viscous CFD validation of the same geometry.</w:t>
      </w:r>
    </w:p>
    <w:p w:rsidR="00400BE1" w:rsidRDefault="003C067D">
      <w:r>
        <w:br w:type="page"/>
      </w:r>
    </w:p>
    <w:p w:rsidR="00400BE1" w:rsidRDefault="003C067D">
      <w:pPr>
        <w:pStyle w:val="Heading1"/>
        <w:pBdr>
          <w:bottom w:val="single" w:sz="12" w:space="4" w:color="B8860B"/>
        </w:pBdr>
        <w:spacing w:before="400" w:after="200"/>
      </w:pPr>
      <w:r>
        <w:rPr>
          <w:b/>
          <w:bCs/>
          <w:color w:val="1A3A5C"/>
          <w:sz w:val="30"/>
          <w:szCs w:val="30"/>
        </w:rPr>
        <w:lastRenderedPageBreak/>
        <w:t>8. Refer</w:t>
      </w:r>
      <w:r>
        <w:rPr>
          <w:b/>
          <w:bCs/>
          <w:color w:val="1A3A5C"/>
          <w:sz w:val="30"/>
          <w:szCs w:val="30"/>
        </w:rPr>
        <w:t>ences</w:t>
      </w:r>
    </w:p>
    <w:p w:rsidR="00400BE1" w:rsidRDefault="003C067D">
      <w:pPr>
        <w:spacing w:after="160" w:line="276" w:lineRule="auto"/>
        <w:jc w:val="both"/>
      </w:pPr>
      <w:r>
        <w:rPr>
          <w:color w:val="333333"/>
          <w:sz w:val="22"/>
          <w:szCs w:val="22"/>
        </w:rPr>
        <w:t xml:space="preserve">[1] </w:t>
      </w:r>
      <w:proofErr w:type="spellStart"/>
      <w:r>
        <w:rPr>
          <w:color w:val="333333"/>
          <w:sz w:val="22"/>
          <w:szCs w:val="22"/>
        </w:rPr>
        <w:t>Deperrois</w:t>
      </w:r>
      <w:proofErr w:type="spellEnd"/>
      <w:r>
        <w:rPr>
          <w:color w:val="333333"/>
          <w:sz w:val="22"/>
          <w:szCs w:val="22"/>
        </w:rPr>
        <w:t>, A. — XFLR5 v6.62: Analysis of Foils and Wings Operating at Low Reynolds Numbers.</w:t>
      </w:r>
    </w:p>
    <w:p w:rsidR="00400BE1" w:rsidRDefault="003C067D">
      <w:pPr>
        <w:spacing w:after="160" w:line="276" w:lineRule="auto"/>
        <w:jc w:val="both"/>
      </w:pPr>
      <w:r>
        <w:rPr>
          <w:color w:val="333333"/>
          <w:sz w:val="22"/>
          <w:szCs w:val="22"/>
        </w:rPr>
        <w:t xml:space="preserve">[2] </w:t>
      </w:r>
      <w:proofErr w:type="spellStart"/>
      <w:r>
        <w:rPr>
          <w:color w:val="333333"/>
          <w:sz w:val="22"/>
          <w:szCs w:val="22"/>
        </w:rPr>
        <w:t>Drela</w:t>
      </w:r>
      <w:proofErr w:type="spellEnd"/>
      <w:r>
        <w:rPr>
          <w:color w:val="333333"/>
          <w:sz w:val="22"/>
          <w:szCs w:val="22"/>
        </w:rPr>
        <w:t>, M. — XFOIL: An Analysis and Design System for Low Reynolds Number Airfoils, MIT.</w:t>
      </w:r>
    </w:p>
    <w:p w:rsidR="00400BE1" w:rsidRDefault="003C067D">
      <w:pPr>
        <w:spacing w:after="160" w:line="276" w:lineRule="auto"/>
        <w:jc w:val="both"/>
      </w:pPr>
      <w:r>
        <w:rPr>
          <w:color w:val="333333"/>
          <w:sz w:val="22"/>
          <w:szCs w:val="22"/>
        </w:rPr>
        <w:t xml:space="preserve">[3] Katz, J. &amp; </w:t>
      </w:r>
      <w:proofErr w:type="spellStart"/>
      <w:r>
        <w:rPr>
          <w:color w:val="333333"/>
          <w:sz w:val="22"/>
          <w:szCs w:val="22"/>
        </w:rPr>
        <w:t>Plotkin</w:t>
      </w:r>
      <w:proofErr w:type="spellEnd"/>
      <w:r>
        <w:rPr>
          <w:color w:val="333333"/>
          <w:sz w:val="22"/>
          <w:szCs w:val="22"/>
        </w:rPr>
        <w:t>, A. — Low-Speed Aerodynamics, 2nd Editi</w:t>
      </w:r>
      <w:r>
        <w:rPr>
          <w:color w:val="333333"/>
          <w:sz w:val="22"/>
          <w:szCs w:val="22"/>
        </w:rPr>
        <w:t>on (Vortex Lattice Method theory), Cambridge University Press.</w:t>
      </w:r>
    </w:p>
    <w:p w:rsidR="00400BE1" w:rsidRDefault="003C067D">
      <w:pPr>
        <w:spacing w:after="160" w:line="276" w:lineRule="auto"/>
        <w:jc w:val="both"/>
      </w:pPr>
      <w:r>
        <w:rPr>
          <w:color w:val="333333"/>
          <w:sz w:val="22"/>
          <w:szCs w:val="22"/>
        </w:rPr>
        <w:t xml:space="preserve">[4] Zhang, X., </w:t>
      </w:r>
      <w:proofErr w:type="spellStart"/>
      <w:r>
        <w:rPr>
          <w:color w:val="333333"/>
          <w:sz w:val="22"/>
          <w:szCs w:val="22"/>
        </w:rPr>
        <w:t>Toet</w:t>
      </w:r>
      <w:proofErr w:type="spellEnd"/>
      <w:r>
        <w:rPr>
          <w:color w:val="333333"/>
          <w:sz w:val="22"/>
          <w:szCs w:val="22"/>
        </w:rPr>
        <w:t xml:space="preserve">, W., </w:t>
      </w:r>
      <w:proofErr w:type="spellStart"/>
      <w:r>
        <w:rPr>
          <w:color w:val="333333"/>
          <w:sz w:val="22"/>
          <w:szCs w:val="22"/>
        </w:rPr>
        <w:t>Zerihan</w:t>
      </w:r>
      <w:proofErr w:type="spellEnd"/>
      <w:r>
        <w:rPr>
          <w:color w:val="333333"/>
          <w:sz w:val="22"/>
          <w:szCs w:val="22"/>
        </w:rPr>
        <w:t>, J. — Ground Effect Aerodynamics of Race Cars, Applied Mechanics Reviews, 2006.</w:t>
      </w:r>
    </w:p>
    <w:p w:rsidR="00400BE1" w:rsidRDefault="003C067D">
      <w:pPr>
        <w:spacing w:after="160" w:line="276" w:lineRule="auto"/>
        <w:jc w:val="both"/>
      </w:pPr>
      <w:r>
        <w:rPr>
          <w:color w:val="333333"/>
          <w:sz w:val="22"/>
          <w:szCs w:val="22"/>
        </w:rPr>
        <w:t xml:space="preserve">[5] Abbott, I. H. &amp; Von </w:t>
      </w:r>
      <w:proofErr w:type="spellStart"/>
      <w:r>
        <w:rPr>
          <w:color w:val="333333"/>
          <w:sz w:val="22"/>
          <w:szCs w:val="22"/>
        </w:rPr>
        <w:t>Doenhoff</w:t>
      </w:r>
      <w:proofErr w:type="spellEnd"/>
      <w:r>
        <w:rPr>
          <w:color w:val="333333"/>
          <w:sz w:val="22"/>
          <w:szCs w:val="22"/>
        </w:rPr>
        <w:t>, A. E. — Theory of Wing Sections, Dover Publica</w:t>
      </w:r>
      <w:r>
        <w:rPr>
          <w:color w:val="333333"/>
          <w:sz w:val="22"/>
          <w:szCs w:val="22"/>
        </w:rPr>
        <w:t>tions.</w:t>
      </w:r>
    </w:p>
    <w:p w:rsidR="00400BE1" w:rsidRDefault="003C067D">
      <w:pPr>
        <w:spacing w:after="160" w:line="276" w:lineRule="auto"/>
        <w:jc w:val="both"/>
      </w:pPr>
      <w:r>
        <w:rPr>
          <w:color w:val="333333"/>
          <w:sz w:val="22"/>
          <w:szCs w:val="22"/>
        </w:rPr>
        <w:t>[6] Anderson, J. D. — Fundamentals of Aerodynamics, McGraw-Hill.</w:t>
      </w:r>
    </w:p>
    <w:sectPr w:rsidR="00400BE1">
      <w:headerReference w:type="default" r:id="rId20"/>
      <w:footerReference w:type="default" r:id="rId2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067D" w:rsidRDefault="003C067D">
      <w:r>
        <w:separator/>
      </w:r>
    </w:p>
  </w:endnote>
  <w:endnote w:type="continuationSeparator" w:id="0">
    <w:p w:rsidR="003C067D" w:rsidRDefault="003C0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0BE1" w:rsidRDefault="003C067D">
    <w:pPr>
      <w:jc w:val="center"/>
    </w:pPr>
    <w:r>
      <w:rPr>
        <w:color w:val="333333"/>
        <w:sz w:val="16"/>
        <w:szCs w:val="16"/>
      </w:rPr>
      <w:t xml:space="preserve">Page </w:t>
    </w:r>
    <w:r>
      <w:rPr>
        <w:color w:val="333333"/>
        <w:sz w:val="16"/>
        <w:szCs w:val="16"/>
      </w:rPr>
      <w:fldChar w:fldCharType="begin"/>
    </w:r>
    <w:r>
      <w:rPr>
        <w:color w:val="333333"/>
        <w:sz w:val="16"/>
        <w:szCs w:val="16"/>
      </w:rPr>
      <w:instrText>PAGE</w:instrText>
    </w:r>
    <w:r w:rsidR="00A50094">
      <w:rPr>
        <w:color w:val="333333"/>
        <w:sz w:val="16"/>
        <w:szCs w:val="16"/>
      </w:rPr>
      <w:fldChar w:fldCharType="separate"/>
    </w:r>
    <w:r w:rsidR="002135E6">
      <w:rPr>
        <w:noProof/>
        <w:color w:val="333333"/>
        <w:sz w:val="16"/>
        <w:szCs w:val="16"/>
      </w:rPr>
      <w:t>3</w:t>
    </w:r>
    <w:r>
      <w:rPr>
        <w:color w:val="333333"/>
        <w:sz w:val="16"/>
        <w:szCs w:val="16"/>
      </w:rPr>
      <w:fldChar w:fldCharType="end"/>
    </w:r>
    <w:r>
      <w:rPr>
        <w:color w:val="333333"/>
        <w:sz w:val="16"/>
        <w:szCs w:val="16"/>
      </w:rPr>
      <w:t xml:space="preserve"> of </w:t>
    </w:r>
    <w:r>
      <w:rPr>
        <w:color w:val="333333"/>
        <w:sz w:val="16"/>
        <w:szCs w:val="16"/>
      </w:rPr>
      <w:fldChar w:fldCharType="begin"/>
    </w:r>
    <w:r>
      <w:rPr>
        <w:color w:val="333333"/>
        <w:sz w:val="16"/>
        <w:szCs w:val="16"/>
      </w:rPr>
      <w:instrText>NUMPAGES</w:instrText>
    </w:r>
    <w:r w:rsidR="00A50094">
      <w:rPr>
        <w:color w:val="333333"/>
        <w:sz w:val="16"/>
        <w:szCs w:val="16"/>
      </w:rPr>
      <w:fldChar w:fldCharType="separate"/>
    </w:r>
    <w:r w:rsidR="002135E6">
      <w:rPr>
        <w:noProof/>
        <w:color w:val="333333"/>
        <w:sz w:val="16"/>
        <w:szCs w:val="16"/>
      </w:rPr>
      <w:t>17</w:t>
    </w:r>
    <w:r>
      <w:rPr>
        <w:color w:val="333333"/>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067D" w:rsidRDefault="003C067D">
      <w:r>
        <w:separator/>
      </w:r>
    </w:p>
  </w:footnote>
  <w:footnote w:type="continuationSeparator" w:id="0">
    <w:p w:rsidR="003C067D" w:rsidRDefault="003C06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0BE1" w:rsidRDefault="003C067D">
    <w:pPr>
      <w:pBdr>
        <w:bottom w:val="single" w:sz="6" w:space="4" w:color="B8860B"/>
      </w:pBdr>
      <w:tabs>
        <w:tab w:val="right" w:pos="9026"/>
      </w:tabs>
    </w:pPr>
    <w:r>
      <w:rPr>
        <w:color w:val="1A3A5C"/>
        <w:sz w:val="16"/>
        <w:szCs w:val="16"/>
      </w:rPr>
      <w:t>NACA 6412 F1 Front Wing — Aerodynamic Study</w:t>
    </w:r>
    <w:r>
      <w:rPr>
        <w:color w:val="1A3A5C"/>
        <w:sz w:val="16"/>
        <w:szCs w:val="16"/>
      </w:rPr>
      <w:tab/>
    </w:r>
    <w:r w:rsidR="002135E6">
      <w:rPr>
        <w:color w:val="1A3A5C"/>
        <w:sz w:val="16"/>
        <w:szCs w:val="16"/>
      </w:rPr>
      <w:t xml:space="preserve">Omgbrumaye </w:t>
    </w:r>
    <w:r>
      <w:rPr>
        <w:color w:val="1A3A5C"/>
        <w:sz w:val="16"/>
        <w:szCs w:val="16"/>
      </w:rPr>
      <w:t>Praise | LASU Aerospace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716591"/>
    <w:multiLevelType w:val="hybridMultilevel"/>
    <w:tmpl w:val="57CCA11C"/>
    <w:lvl w:ilvl="0" w:tplc="470055C2">
      <w:start w:val="1"/>
      <w:numFmt w:val="bullet"/>
      <w:lvlText w:val="•"/>
      <w:lvlJc w:val="left"/>
      <w:pPr>
        <w:ind w:left="504" w:hanging="288"/>
      </w:pPr>
    </w:lvl>
    <w:lvl w:ilvl="1" w:tplc="5838ECD6">
      <w:numFmt w:val="decimal"/>
      <w:lvlText w:val=""/>
      <w:lvlJc w:val="left"/>
    </w:lvl>
    <w:lvl w:ilvl="2" w:tplc="77DEDB1C">
      <w:numFmt w:val="decimal"/>
      <w:lvlText w:val=""/>
      <w:lvlJc w:val="left"/>
    </w:lvl>
    <w:lvl w:ilvl="3" w:tplc="3BA0BB46">
      <w:numFmt w:val="decimal"/>
      <w:lvlText w:val=""/>
      <w:lvlJc w:val="left"/>
    </w:lvl>
    <w:lvl w:ilvl="4" w:tplc="E59C2A04">
      <w:numFmt w:val="decimal"/>
      <w:lvlText w:val=""/>
      <w:lvlJc w:val="left"/>
    </w:lvl>
    <w:lvl w:ilvl="5" w:tplc="68666EEC">
      <w:numFmt w:val="decimal"/>
      <w:lvlText w:val=""/>
      <w:lvlJc w:val="left"/>
    </w:lvl>
    <w:lvl w:ilvl="6" w:tplc="EDE4E6EC">
      <w:numFmt w:val="decimal"/>
      <w:lvlText w:val=""/>
      <w:lvlJc w:val="left"/>
    </w:lvl>
    <w:lvl w:ilvl="7" w:tplc="AEE88CC4">
      <w:numFmt w:val="decimal"/>
      <w:lvlText w:val=""/>
      <w:lvlJc w:val="left"/>
    </w:lvl>
    <w:lvl w:ilvl="8" w:tplc="D03C16F6">
      <w:numFmt w:val="decimal"/>
      <w:lvlText w:val=""/>
      <w:lvlJc w:val="left"/>
    </w:lvl>
  </w:abstractNum>
  <w:abstractNum w:abstractNumId="1">
    <w:nsid w:val="79272D25"/>
    <w:multiLevelType w:val="hybridMultilevel"/>
    <w:tmpl w:val="34924F24"/>
    <w:lvl w:ilvl="0" w:tplc="A432B3C2">
      <w:start w:val="1"/>
      <w:numFmt w:val="bullet"/>
      <w:lvlText w:val="●"/>
      <w:lvlJc w:val="left"/>
      <w:pPr>
        <w:ind w:left="720" w:hanging="360"/>
      </w:pPr>
    </w:lvl>
    <w:lvl w:ilvl="1" w:tplc="88103D44">
      <w:start w:val="1"/>
      <w:numFmt w:val="bullet"/>
      <w:lvlText w:val="○"/>
      <w:lvlJc w:val="left"/>
      <w:pPr>
        <w:ind w:left="1440" w:hanging="360"/>
      </w:pPr>
    </w:lvl>
    <w:lvl w:ilvl="2" w:tplc="D30ADEAA">
      <w:start w:val="1"/>
      <w:numFmt w:val="bullet"/>
      <w:lvlText w:val="■"/>
      <w:lvlJc w:val="left"/>
      <w:pPr>
        <w:ind w:left="2160" w:hanging="360"/>
      </w:pPr>
    </w:lvl>
    <w:lvl w:ilvl="3" w:tplc="A470C7E0">
      <w:start w:val="1"/>
      <w:numFmt w:val="bullet"/>
      <w:lvlText w:val="●"/>
      <w:lvlJc w:val="left"/>
      <w:pPr>
        <w:ind w:left="2880" w:hanging="360"/>
      </w:pPr>
    </w:lvl>
    <w:lvl w:ilvl="4" w:tplc="7AA8E58A">
      <w:start w:val="1"/>
      <w:numFmt w:val="bullet"/>
      <w:lvlText w:val="○"/>
      <w:lvlJc w:val="left"/>
      <w:pPr>
        <w:ind w:left="3600" w:hanging="360"/>
      </w:pPr>
    </w:lvl>
    <w:lvl w:ilvl="5" w:tplc="886880FA">
      <w:start w:val="1"/>
      <w:numFmt w:val="bullet"/>
      <w:lvlText w:val="■"/>
      <w:lvlJc w:val="left"/>
      <w:pPr>
        <w:ind w:left="4320" w:hanging="360"/>
      </w:pPr>
    </w:lvl>
    <w:lvl w:ilvl="6" w:tplc="83A8238E">
      <w:start w:val="1"/>
      <w:numFmt w:val="bullet"/>
      <w:lvlText w:val="●"/>
      <w:lvlJc w:val="left"/>
      <w:pPr>
        <w:ind w:left="5040" w:hanging="360"/>
      </w:pPr>
    </w:lvl>
    <w:lvl w:ilvl="7" w:tplc="4C2A4BF8">
      <w:start w:val="1"/>
      <w:numFmt w:val="bullet"/>
      <w:lvlText w:val="●"/>
      <w:lvlJc w:val="left"/>
      <w:pPr>
        <w:ind w:left="5760" w:hanging="360"/>
      </w:pPr>
    </w:lvl>
    <w:lvl w:ilvl="8" w:tplc="B8006F4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BE1"/>
    <w:rsid w:val="000C671E"/>
    <w:rsid w:val="002135E6"/>
    <w:rsid w:val="003C067D"/>
    <w:rsid w:val="00400BE1"/>
    <w:rsid w:val="00A50094"/>
    <w:rsid w:val="00F36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802FE1-DC4A-4D3E-9D66-0761618C0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135E6"/>
    <w:pPr>
      <w:tabs>
        <w:tab w:val="center" w:pos="4680"/>
        <w:tab w:val="right" w:pos="9360"/>
      </w:tabs>
    </w:pPr>
  </w:style>
  <w:style w:type="character" w:customStyle="1" w:styleId="HeaderChar">
    <w:name w:val="Header Char"/>
    <w:basedOn w:val="DefaultParagraphFont"/>
    <w:link w:val="Header"/>
    <w:uiPriority w:val="99"/>
    <w:rsid w:val="002135E6"/>
  </w:style>
  <w:style w:type="paragraph" w:styleId="Footer">
    <w:name w:val="footer"/>
    <w:basedOn w:val="Normal"/>
    <w:link w:val="FooterChar"/>
    <w:uiPriority w:val="99"/>
    <w:unhideWhenUsed/>
    <w:rsid w:val="002135E6"/>
    <w:pPr>
      <w:tabs>
        <w:tab w:val="center" w:pos="4680"/>
        <w:tab w:val="right" w:pos="9360"/>
      </w:tabs>
    </w:pPr>
  </w:style>
  <w:style w:type="character" w:customStyle="1" w:styleId="FooterChar">
    <w:name w:val="Footer Char"/>
    <w:basedOn w:val="DefaultParagraphFont"/>
    <w:link w:val="Footer"/>
    <w:uiPriority w:val="99"/>
    <w:rsid w:val="00213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17</Pages>
  <Words>2726</Words>
  <Characters>15541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HomePC</cp:lastModifiedBy>
  <cp:revision>6</cp:revision>
  <dcterms:created xsi:type="dcterms:W3CDTF">2026-07-03T00:40:00Z</dcterms:created>
  <dcterms:modified xsi:type="dcterms:W3CDTF">2026-07-03T01:56:00Z</dcterms:modified>
</cp:coreProperties>
</file>