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F97316"/>
          <w:sz w:val="52"/>
        </w:rPr>
        <w:t>TRACE</w:t>
      </w:r>
      <w:r>
        <w:rPr>
          <w:color w:val="0F172A"/>
          <w:sz w:val="26"/>
        </w:rPr>
        <w:t xml:space="preserve">  —  Economic Identity Platform</w:t>
      </w:r>
    </w:p>
    <w:p>
      <w:pPr>
        <w:spacing w:before="20" w:after="120"/>
      </w:pPr>
      <w:r>
        <w:rPr>
          <w:color w:val="64748B"/>
          <w:sz w:val="16"/>
        </w:rPr>
        <w:t>Squad Hackathon 3.0  ·  Challenge 02: Intelligent Economic Platform  ·  Team Neuralstack</w:t>
      </w:r>
    </w:p>
    <w:p>
      <w:pPr>
        <w:spacing w:before="60" w:after="60"/>
        <w:pBdr>
          <w:bottom w:val="single" w:sz="6" w:space="1" w:color="E2E8F0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W w:w="5216" w:type="dxa"/>
            <w:shd w:val="clear" w:color="auto" w:fill="FFFFFF"/>
          </w:tcPr>
          <w:p>
            <w:pPr>
              <w:spacing w:before="80" w:after="60"/>
            </w:pPr>
            <w:r>
              <w:rPr>
                <w:b/>
                <w:color w:val="F97316"/>
                <w:sz w:val="15"/>
              </w:rPr>
              <w:t>THE PROBLEM</w:t>
            </w:r>
          </w:p>
          <w:p>
            <w:pPr>
              <w:spacing w:before="0" w:after="60"/>
            </w:pPr>
            <w:r>
              <w:rPr>
                <w:color w:val="0F172A"/>
                <w:sz w:val="17"/>
              </w:rPr>
              <w:t>The informal economy employs 70% of Nigeria's workforce. Traders, gig workers, and artisans are creditworthy — but invisible. No bank statement, no credit history, no access to financial services. Financial institutions want to lend to this market but have no reliable data on them.</w:t>
            </w:r>
          </w:p>
          <w:p>
            <w:pPr>
              <w:spacing w:before="0" w:after="60"/>
            </w:pPr>
            <w:r>
              <w:rPr>
                <w:color w:val="0F172A"/>
                <w:sz w:val="17"/>
              </w:rPr>
              <w:t>Trace is the data layer that bridges both sides.</w:t>
            </w:r>
          </w:p>
        </w:tc>
        <w:tc>
          <w:tcPr>
            <w:tcW w:type="dxa" w:w="4933"/>
            <w:tcW w:w="5216" w:type="dxa"/>
            <w:shd w:val="clear" w:color="auto" w:fill="FFFFFF"/>
          </w:tcPr>
          <w:p>
            <w:pPr>
              <w:spacing w:before="80" w:after="60"/>
            </w:pPr>
            <w:r>
              <w:rPr>
                <w:b/>
                <w:color w:val="F97316"/>
                <w:sz w:val="15"/>
              </w:rPr>
              <w:t>THE SOLUTION</w:t>
            </w:r>
          </w:p>
          <w:p>
            <w:pPr>
              <w:spacing w:before="0" w:after="60"/>
            </w:pPr>
            <w:r>
              <w:rPr>
                <w:color w:val="0F172A"/>
                <w:sz w:val="17"/>
              </w:rPr>
              <w:t>Trace turns every informal economic action — a completed gig, a Squad payment received, a peer vouch — into a verifiable Economic Identity Score (0–100). Three products sit on top of one growing identity record:</w:t>
            </w:r>
          </w:p>
          <w:p>
            <w:pPr>
              <w:spacing w:before="0" w:after="60"/>
            </w:pPr>
            <w:r>
              <w:rPr>
                <w:color w:val="0F172A"/>
                <w:sz w:val="17"/>
              </w:rPr>
              <w:t>Work Matcher — AI ranks open gigs by skill, proximity, and language</w:t>
            </w:r>
          </w:p>
          <w:p>
            <w:pPr>
              <w:spacing w:before="0" w:after="60"/>
            </w:pPr>
            <w:r>
              <w:rPr>
                <w:color w:val="0F172A"/>
                <w:sz w:val="17"/>
              </w:rPr>
              <w:t>Trade Intelligence — Real demand signals from Squad transaction patterns</w:t>
            </w:r>
          </w:p>
          <w:p>
            <w:pPr>
              <w:spacing w:before="0" w:after="60"/>
            </w:pPr>
            <w:r>
              <w:rPr>
                <w:color w:val="0F172A"/>
                <w:sz w:val="17"/>
              </w:rPr>
              <w:t>Finance Gateway — Credit profile exposed to microfinance partner institutions</w:t>
            </w:r>
          </w:p>
        </w:tc>
      </w:tr>
    </w:tbl>
    <w:p>
      <w:pPr>
        <w:spacing w:before="60" w:after="60"/>
        <w:pBdr>
          <w:bottom w:val="single" w:sz="6" w:space="1" w:color="E2E8F0"/>
        </w:pBdr>
      </w:pPr>
    </w:p>
    <w:p>
      <w:pPr>
        <w:spacing w:before="120" w:after="80"/>
      </w:pPr>
      <w:r>
        <w:rPr>
          <w:b/>
          <w:color w:val="F97316"/>
          <w:sz w:val="16"/>
        </w:rPr>
        <w:t>SQUAD APIs USED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FF7ED"/>
            <w:tcW w:w="2494" w:type="dxa"/>
          </w:tcPr>
          <w:p>
            <w:pPr>
              <w:spacing w:before="40" w:after="40"/>
            </w:pPr>
            <w:r>
              <w:rPr>
                <w:b/>
                <w:color w:val="F97316"/>
                <w:sz w:val="17"/>
              </w:rPr>
              <w:t>Virtual Accounts</w:t>
            </w:r>
          </w:p>
        </w:tc>
        <w:tc>
          <w:tcPr>
            <w:tcW w:type="dxa" w:w="4933"/>
            <w:shd w:val="clear" w:color="auto" w:fill="FFF7ED"/>
            <w:tcW w:w="7654" w:type="dxa"/>
          </w:tcPr>
          <w:p>
            <w:pPr>
              <w:spacing w:before="40" w:after="40"/>
            </w:pPr>
            <w:r>
              <w:rPr>
                <w:color w:val="0F172A"/>
                <w:sz w:val="17"/>
              </w:rPr>
              <w:t>Auto-created at onboarding — every user gets a Squad virtual account that anchors their financial identity on the platform</w:t>
            </w:r>
          </w:p>
        </w:tc>
      </w:tr>
      <w:tr>
        <w:tc>
          <w:tcPr>
            <w:tcW w:type="dxa" w:w="4933"/>
            <w:shd w:val="clear" w:color="auto" w:fill="FFFFFF"/>
            <w:tcW w:w="2494" w:type="dxa"/>
          </w:tcPr>
          <w:p>
            <w:pPr>
              <w:spacing w:before="40" w:after="40"/>
            </w:pPr>
            <w:r>
              <w:rPr>
                <w:b/>
                <w:color w:val="F97316"/>
                <w:sz w:val="17"/>
              </w:rPr>
              <w:t>Payment Initiation</w:t>
            </w:r>
          </w:p>
        </w:tc>
        <w:tc>
          <w:tcPr>
            <w:tcW w:type="dxa" w:w="4933"/>
            <w:shd w:val="clear" w:color="auto" w:fill="FFFFFF"/>
            <w:tcW w:w="7654" w:type="dxa"/>
          </w:tcPr>
          <w:p>
            <w:pPr>
              <w:spacing w:before="40" w:after="40"/>
            </w:pPr>
            <w:r>
              <w:rPr>
                <w:color w:val="0F172A"/>
                <w:sz w:val="17"/>
              </w:rPr>
              <w:t>Employer locks gig payment in escrow the moment a worker is hired; funds are held until both parties confirm completion</w:t>
            </w:r>
          </w:p>
        </w:tc>
      </w:tr>
      <w:tr>
        <w:tc>
          <w:tcPr>
            <w:tcW w:type="dxa" w:w="4933"/>
            <w:shd w:val="clear" w:color="auto" w:fill="FFF7ED"/>
            <w:tcW w:w="2494" w:type="dxa"/>
          </w:tcPr>
          <w:p>
            <w:pPr>
              <w:spacing w:before="40" w:after="40"/>
            </w:pPr>
            <w:r>
              <w:rPr>
                <w:b/>
                <w:color w:val="F97316"/>
                <w:sz w:val="17"/>
              </w:rPr>
              <w:t>Transaction Verification</w:t>
            </w:r>
          </w:p>
        </w:tc>
        <w:tc>
          <w:tcPr>
            <w:tcW w:type="dxa" w:w="4933"/>
            <w:shd w:val="clear" w:color="auto" w:fill="FFF7ED"/>
            <w:tcW w:w="7654" w:type="dxa"/>
          </w:tcPr>
          <w:p>
            <w:pPr>
              <w:spacing w:before="40" w:after="40"/>
            </w:pPr>
            <w:r>
              <w:rPr>
                <w:color w:val="0F172A"/>
                <w:sz w:val="17"/>
              </w:rPr>
              <w:t>Escrow confirmed via Squad before any release is triggered — prevents paying out on unconfirmed funds</w:t>
            </w:r>
          </w:p>
        </w:tc>
      </w:tr>
      <w:tr>
        <w:tc>
          <w:tcPr>
            <w:tcW w:type="dxa" w:w="4933"/>
            <w:shd w:val="clear" w:color="auto" w:fill="FFFFFF"/>
            <w:tcW w:w="2494" w:type="dxa"/>
          </w:tcPr>
          <w:p>
            <w:pPr>
              <w:spacing w:before="40" w:after="40"/>
            </w:pPr>
            <w:r>
              <w:rPr>
                <w:b/>
                <w:color w:val="F97316"/>
                <w:sz w:val="17"/>
              </w:rPr>
              <w:t>Payout / Transfer</w:t>
            </w:r>
          </w:p>
        </w:tc>
        <w:tc>
          <w:tcPr>
            <w:tcW w:type="dxa" w:w="4933"/>
            <w:shd w:val="clear" w:color="auto" w:fill="FFFFFF"/>
            <w:tcW w:w="7654" w:type="dxa"/>
          </w:tcPr>
          <w:p>
            <w:pPr>
              <w:spacing w:before="40" w:after="40"/>
            </w:pPr>
            <w:r>
              <w:rPr>
                <w:color w:val="0F172A"/>
                <w:sz w:val="17"/>
              </w:rPr>
              <w:t>Escrowed amount released directly to the worker's Squad virtual account after completion is confirmed by both parties</w:t>
            </w:r>
          </w:p>
        </w:tc>
      </w:tr>
      <w:tr>
        <w:tc>
          <w:tcPr>
            <w:tcW w:type="dxa" w:w="4933"/>
            <w:shd w:val="clear" w:color="auto" w:fill="FFF7ED"/>
            <w:tcW w:w="2494" w:type="dxa"/>
          </w:tcPr>
          <w:p>
            <w:pPr>
              <w:spacing w:before="40" w:after="40"/>
            </w:pPr>
            <w:r>
              <w:rPr>
                <w:b/>
                <w:color w:val="F97316"/>
                <w:sz w:val="17"/>
              </w:rPr>
              <w:t>Refund</w:t>
            </w:r>
          </w:p>
        </w:tc>
        <w:tc>
          <w:tcPr>
            <w:tcW w:type="dxa" w:w="4933"/>
            <w:shd w:val="clear" w:color="auto" w:fill="FFF7ED"/>
            <w:tcW w:w="7654" w:type="dxa"/>
          </w:tcPr>
          <w:p>
            <w:pPr>
              <w:spacing w:before="40" w:after="40"/>
            </w:pPr>
            <w:r>
              <w:rPr>
                <w:color w:val="0F172A"/>
                <w:sz w:val="17"/>
              </w:rPr>
              <w:t>If a gig is cancelled, the escrowed amount is automatically refunded to the employer via Squad</w:t>
            </w:r>
          </w:p>
        </w:tc>
      </w:tr>
      <w:tr>
        <w:tc>
          <w:tcPr>
            <w:tcW w:type="dxa" w:w="4933"/>
            <w:shd w:val="clear" w:color="auto" w:fill="FFFFFF"/>
            <w:tcW w:w="2494" w:type="dxa"/>
          </w:tcPr>
          <w:p>
            <w:pPr>
              <w:spacing w:before="40" w:after="40"/>
            </w:pPr>
            <w:r>
              <w:rPr>
                <w:b/>
                <w:color w:val="F97316"/>
                <w:sz w:val="17"/>
              </w:rPr>
              <w:t>Account Lookup</w:t>
            </w:r>
          </w:p>
        </w:tc>
        <w:tc>
          <w:tcPr>
            <w:tcW w:type="dxa" w:w="4933"/>
            <w:shd w:val="clear" w:color="auto" w:fill="FFFFFF"/>
            <w:tcW w:w="7654" w:type="dxa"/>
          </w:tcPr>
          <w:p>
            <w:pPr>
              <w:spacing w:before="40" w:after="40"/>
            </w:pPr>
            <w:r>
              <w:rPr>
                <w:color w:val="0F172A"/>
                <w:sz w:val="17"/>
              </w:rPr>
              <w:t>Destination bank account resolved before every payout transfer is initiated</w:t>
            </w:r>
          </w:p>
        </w:tc>
      </w:tr>
      <w:tr>
        <w:tc>
          <w:tcPr>
            <w:tcW w:type="dxa" w:w="4933"/>
            <w:shd w:val="clear" w:color="auto" w:fill="FFF7ED"/>
            <w:tcW w:w="2494" w:type="dxa"/>
          </w:tcPr>
          <w:p>
            <w:pPr>
              <w:spacing w:before="40" w:after="40"/>
            </w:pPr>
            <w:r>
              <w:rPr>
                <w:b/>
                <w:color w:val="F97316"/>
                <w:sz w:val="17"/>
              </w:rPr>
              <w:t>Webhooks (HMAC-SHA512)</w:t>
            </w:r>
          </w:p>
        </w:tc>
        <w:tc>
          <w:tcPr>
            <w:tcW w:type="dxa" w:w="4933"/>
            <w:shd w:val="clear" w:color="auto" w:fill="FFF7ED"/>
            <w:tcW w:w="7654" w:type="dxa"/>
          </w:tcPr>
          <w:p>
            <w:pPr>
              <w:spacing w:before="40" w:after="40"/>
            </w:pPr>
            <w:r>
              <w:rPr>
                <w:color w:val="0F172A"/>
                <w:sz w:val="17"/>
              </w:rPr>
              <w:t>Every Squad payment event is signature-verified, then queued via BullMQ → triggers AI identity score recalculation</w:t>
            </w:r>
          </w:p>
        </w:tc>
      </w:tr>
      <w:tr>
        <w:tc>
          <w:tcPr>
            <w:tcW w:type="dxa" w:w="4933"/>
            <w:shd w:val="clear" w:color="auto" w:fill="FFFFFF"/>
            <w:tcW w:w="2494" w:type="dxa"/>
          </w:tcPr>
          <w:p>
            <w:pPr>
              <w:spacing w:before="40" w:after="40"/>
            </w:pPr>
            <w:r>
              <w:rPr>
                <w:b/>
                <w:color w:val="F97316"/>
                <w:sz w:val="17"/>
              </w:rPr>
              <w:t>Wallet Balance</w:t>
            </w:r>
          </w:p>
        </w:tc>
        <w:tc>
          <w:tcPr>
            <w:tcW w:type="dxa" w:w="4933"/>
            <w:shd w:val="clear" w:color="auto" w:fill="FFFFFF"/>
            <w:tcW w:w="7654" w:type="dxa"/>
          </w:tcPr>
          <w:p>
            <w:pPr>
              <w:spacing w:before="40" w:after="40"/>
            </w:pPr>
            <w:r>
              <w:rPr>
                <w:color w:val="0F172A"/>
                <w:sz w:val="17"/>
              </w:rPr>
              <w:t>Merchant wallet balance checked before each escrow release to prevent failed payouts</w:t>
            </w:r>
          </w:p>
        </w:tc>
      </w:tr>
    </w:tbl>
    <w:p>
      <w:pPr>
        <w:spacing w:before="60" w:after="60"/>
        <w:pBdr>
          <w:bottom w:val="single" w:sz="6" w:space="1" w:color="E2E8F0"/>
        </w:pBdr>
      </w:pPr>
    </w:p>
    <w:p>
      <w:pPr>
        <w:spacing w:before="120" w:after="80"/>
      </w:pPr>
      <w:r>
        <w:rPr>
          <w:b/>
          <w:color w:val="F97316"/>
          <w:sz w:val="16"/>
        </w:rPr>
        <w:t>THE FOUR PILLARS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FF7ED"/>
            <w:tcW w:w="5216" w:type="dxa"/>
          </w:tcPr>
          <w:p>
            <w:pPr>
              <w:spacing w:before="100" w:after="40"/>
            </w:pPr>
            <w:r>
              <w:rPr>
                <w:b/>
                <w:color w:val="0F172A"/>
                <w:sz w:val="17"/>
              </w:rPr>
              <w:t>✅  AI Automation</w:t>
            </w:r>
          </w:p>
          <w:p>
            <w:pPr>
              <w:spacing w:before="0" w:after="100"/>
            </w:pPr>
            <w:r>
              <w:rPr>
                <w:color w:val="64748B"/>
                <w:sz w:val="16"/>
              </w:rPr>
              <w:t>An independent Python / FastAPI microservice handles all ML, connected to the NestJS backend over gRPC. AfroXLM-R (17 African languages) powers semantic skill matching across multilingual descriptions. A weighted scoring engine (scikit-learn) recalculates identity scores on every Squad payment event via BullMQ. Matching and credit scoring models retrain monthly on real gig outcome and loan repayment data.</w:t>
            </w:r>
          </w:p>
        </w:tc>
        <w:tc>
          <w:tcPr>
            <w:tcW w:type="dxa" w:w="4933"/>
            <w:shd w:val="clear" w:color="auto" w:fill="FFF7ED"/>
            <w:tcW w:w="5216" w:type="dxa"/>
          </w:tcPr>
          <w:p>
            <w:pPr>
              <w:spacing w:before="100" w:after="40"/>
            </w:pPr>
            <w:r>
              <w:rPr>
                <w:b/>
                <w:color w:val="0F172A"/>
                <w:sz w:val="17"/>
              </w:rPr>
              <w:t>✅  Squad APIs</w:t>
            </w:r>
          </w:p>
          <w:p>
            <w:pPr>
              <w:spacing w:before="0" w:after="100"/>
            </w:pPr>
            <w:r>
              <w:rPr>
                <w:color w:val="64748B"/>
                <w:sz w:val="16"/>
              </w:rPr>
              <w:t>Squad is not a payment add-on — it is the scoring data pipeline. Every Squad webhook event is a scoring signal. Virtual accounts anchor financial identity at signup. Escrow enforces trust between informal parties with no formal contracts. Every naira that moves on Trace moves through Squad — keeping the data loop closed.</w:t>
            </w:r>
          </w:p>
        </w:tc>
      </w:tr>
      <w:tr>
        <w:tc>
          <w:tcPr>
            <w:tcW w:type="dxa" w:w="4933"/>
            <w:shd w:val="clear" w:color="auto" w:fill="FFF7ED"/>
            <w:tcW w:w="5216" w:type="dxa"/>
          </w:tcPr>
          <w:p>
            <w:pPr>
              <w:spacing w:before="100" w:after="40"/>
            </w:pPr>
            <w:r>
              <w:rPr>
                <w:b/>
                <w:color w:val="0F172A"/>
                <w:sz w:val="17"/>
              </w:rPr>
              <w:t>✅  Use of Data</w:t>
            </w:r>
          </w:p>
          <w:p>
            <w:pPr>
              <w:spacing w:before="0" w:after="100"/>
            </w:pPr>
            <w:r>
              <w:rPr>
                <w:color w:val="64748B"/>
                <w:sz w:val="16"/>
              </w:rPr>
              <w:t>Every user action feeds the Economic Identity: Squad webhook events → transaction score (40%); peer vouches → community trust score (25%); platform activity → activity score (20%); profile → completeness score (15%). Gig outcomes train the matching model. Loan repayment outcomes reported by partner institutions retrain the credit model. All partner data access is logged — users see exactly who queried their profile and when.</w:t>
            </w:r>
          </w:p>
        </w:tc>
        <w:tc>
          <w:tcPr>
            <w:tcW w:type="dxa" w:w="4933"/>
            <w:shd w:val="clear" w:color="auto" w:fill="FFF7ED"/>
            <w:tcW w:w="5216" w:type="dxa"/>
          </w:tcPr>
          <w:p>
            <w:pPr>
              <w:spacing w:before="100" w:after="40"/>
            </w:pPr>
            <w:r>
              <w:rPr>
                <w:b/>
                <w:color w:val="0F172A"/>
                <w:sz w:val="17"/>
              </w:rPr>
              <w:t>✅  Financial Innovation</w:t>
            </w:r>
          </w:p>
          <w:p>
            <w:pPr>
              <w:spacing w:before="0" w:after="100"/>
            </w:pPr>
            <w:r>
              <w:rPr>
                <w:color w:val="64748B"/>
                <w:sz w:val="16"/>
              </w:rPr>
              <w:t>The Economic Identity Score replaces bank statements as the credit signal. Risk tiers map directly to loan ceilings (0–29: not eligible / 30–49: ₦50k / 50–69: ₦200k / 70–100: ₦500k). A Partner API lets microfinance institutions — FairMoney, Carbon, LAPO — query verified profiles without raw transaction data. Zero bank history required. The entire model runs on informal economic activity alone.</w:t>
            </w:r>
          </w:p>
        </w:tc>
      </w:tr>
    </w:tbl>
    <w:p>
      <w:pPr>
        <w:spacing w:before="60" w:after="60"/>
        <w:pBdr>
          <w:bottom w:val="single" w:sz="6" w:space="1" w:color="E2E8F0"/>
        </w:pBdr>
      </w:pPr>
    </w:p>
    <w:p>
      <w:pPr>
        <w:spacing w:before="60" w:after="0"/>
      </w:pPr>
      <w:r>
        <w:rPr>
          <w:color w:val="64748B"/>
          <w:sz w:val="15"/>
        </w:rPr>
        <w:t>Stack: Next.js 15  ·  NestJS 11  ·  Python FastAPI  ·  PostgreSQL (Neon)  ·  Redis  ·  Docker  ·  gRPC  ·  Squad API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