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Current Projects Handover</w:t>
      </w:r>
    </w:p>
    <w:p>
      <w:r>
        <w:rPr>
          <w:b/>
        </w:rPr>
        <w:t xml:space="preserve">Purpose  </w:t>
      </w:r>
      <w:r>
        <w:t>Document the status, ownership, decisions, and active work items for projects in progress.</w:t>
      </w:r>
    </w:p>
    <w:p>
      <w:r>
        <w:t>Complete this template before transition. Use links to the approved institutional record locations. Do not include passwords, secret keys, personal data beyond what the successor needs, or unapproved copies of restricted research data.</w:t>
      </w:r>
    </w:p>
    <w:p>
      <w:pPr>
        <w:pStyle w:val="Heading1"/>
      </w:pPr>
      <w:r>
        <w:t>Handover details</w:t>
      </w:r>
    </w:p>
    <w:tbl>
      <w:tblPr>
        <w:tblStyle w:val="LightShading-Accent1"/>
        <w:tblW w:type="auto" w:w="0"/>
        <w:jc w:val="center"/>
        <w:tblLook w:firstColumn="1" w:firstRow="1" w:lastColumn="0" w:lastRow="0" w:noHBand="0" w:noVBand="1" w:val="04A0"/>
      </w:tblPr>
      <w:tblGrid>
        <w:gridCol w:w="5040"/>
        <w:gridCol w:w="5040"/>
      </w:tblGrid>
      <w:tr>
        <w:tc>
          <w:tcPr>
            <w:tcW w:type="dxa" w:w="5040"/>
            <w:shd w:fill="DCE9EF"/>
          </w:tcPr>
          <w:p>
            <w:r>
              <w:t>Departing staff member and role</w:t>
            </w:r>
          </w:p>
        </w:tc>
        <w:tc>
          <w:tcPr>
            <w:tcW w:type="dxa" w:w="5040"/>
          </w:tcPr>
          <w:p>
            <w:r>
              <w:t>[Enter details]</w:t>
            </w:r>
          </w:p>
        </w:tc>
      </w:tr>
      <w:tr>
        <w:tc>
          <w:tcPr>
            <w:tcW w:type="dxa" w:w="5040"/>
            <w:shd w:fill="DCE9EF"/>
          </w:tcPr>
          <w:p>
            <w:r>
              <w:t>Department / unit</w:t>
            </w:r>
          </w:p>
        </w:tc>
        <w:tc>
          <w:tcPr>
            <w:tcW w:type="dxa" w:w="5040"/>
          </w:tcPr>
          <w:p>
            <w:r>
              <w:t>[Enter details]</w:t>
            </w:r>
          </w:p>
        </w:tc>
      </w:tr>
      <w:tr>
        <w:tc>
          <w:tcPr>
            <w:tcW w:type="dxa" w:w="5040"/>
            <w:shd w:fill="DCE9EF"/>
          </w:tcPr>
          <w:p>
            <w:r>
              <w:t>Prepared on / effective handover date</w:t>
            </w:r>
          </w:p>
        </w:tc>
        <w:tc>
          <w:tcPr>
            <w:tcW w:type="dxa" w:w="5040"/>
          </w:tcPr>
          <w:p>
            <w:r>
              <w:t>[Enter details]</w:t>
            </w:r>
          </w:p>
        </w:tc>
      </w:tr>
    </w:tbl>
    <w:p>
      <w:pPr>
        <w:pStyle w:val="Heading1"/>
      </w:pPr>
      <w:r>
        <w:t>Project register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76B72"/>
          </w:tcPr>
          <w:p>
            <w:r>
              <w:rPr>
                <w:b/>
                <w:color w:val="FFFFFF"/>
              </w:rPr>
              <w:t>Work item</w:t>
            </w:r>
          </w:p>
        </w:tc>
        <w:tc>
          <w:tcPr>
            <w:tcW w:type="dxa" w:w="2016"/>
            <w:shd w:fill="176B72"/>
          </w:tcPr>
          <w:p>
            <w:r>
              <w:rPr>
                <w:b/>
                <w:color w:val="FFFFFF"/>
              </w:rPr>
              <w:t>Owner</w:t>
            </w:r>
          </w:p>
        </w:tc>
        <w:tc>
          <w:tcPr>
            <w:tcW w:type="dxa" w:w="2016"/>
            <w:shd w:fill="176B72"/>
          </w:tcPr>
          <w:p>
            <w:r>
              <w:rPr>
                <w:b/>
                <w:color w:val="FFFFFF"/>
              </w:rPr>
              <w:t>Next action</w:t>
            </w:r>
          </w:p>
        </w:tc>
        <w:tc>
          <w:tcPr>
            <w:tcW w:type="dxa" w:w="2016"/>
            <w:shd w:fill="176B72"/>
          </w:tcPr>
          <w:p>
            <w:r>
              <w:rPr>
                <w:b/>
                <w:color w:val="FFFFFF"/>
              </w:rPr>
              <w:t>Due</w:t>
            </w:r>
          </w:p>
        </w:tc>
        <w:tc>
          <w:tcPr>
            <w:tcW w:type="dxa" w:w="2016"/>
            <w:shd w:fill="176B72"/>
          </w:tcPr>
          <w:p>
            <w:r>
              <w:rPr>
                <w:b/>
                <w:color w:val="FFFFFF"/>
              </w:rPr>
              <w:t>Status / blocker</w:t>
            </w:r>
          </w:p>
        </w:tc>
      </w:tr>
      <w:tr>
        <w:tc>
          <w:tcPr>
            <w:tcW w:type="dxa" w:w="2016"/>
          </w:tcPr>
          <w:p>
            <w:r>
              <w:t>[Complete]</w:t>
            </w:r>
          </w:p>
        </w:tc>
        <w:tc>
          <w:tcPr>
            <w:tcW w:type="dxa" w:w="2016"/>
          </w:tcPr>
          <w:p>
            <w:r>
              <w:t>[Complete]</w:t>
            </w:r>
          </w:p>
        </w:tc>
        <w:tc>
          <w:tcPr>
            <w:tcW w:type="dxa" w:w="2016"/>
          </w:tcPr>
          <w:p>
            <w:r>
              <w:t>[Complete]</w:t>
            </w:r>
          </w:p>
        </w:tc>
        <w:tc>
          <w:tcPr>
            <w:tcW w:type="dxa" w:w="2016"/>
          </w:tcPr>
          <w:p>
            <w:r>
              <w:t>[Complete]</w:t>
            </w:r>
          </w:p>
        </w:tc>
        <w:tc>
          <w:tcPr>
            <w:tcW w:type="dxa" w:w="2016"/>
          </w:tcPr>
          <w:p>
            <w:r>
              <w:t>[Complete]</w:t>
            </w:r>
          </w:p>
        </w:tc>
      </w:tr>
    </w:tbl>
    <w:p>
      <w:pPr>
        <w:pStyle w:val="Heading1"/>
      </w:pPr>
      <w:r>
        <w:t>Status and delivery</w:t>
      </w:r>
    </w:p>
    <w:p>
      <w:pPr>
        <w:spacing w:after="20"/>
      </w:pPr>
      <w:r>
        <w:rPr>
          <w:b/>
        </w:rPr>
        <w:t>Purpose and expected outcome</w:t>
      </w:r>
    </w:p>
    <w:p>
      <w:pPr>
        <w:spacing w:after="140"/>
      </w:pPr>
      <w:r>
        <w:rPr>
          <w:i/>
          <w:color w:val="7D8791"/>
        </w:rPr>
        <w:t>[Enter details or write “Not applicable” and explain.]</w:t>
      </w:r>
    </w:p>
    <w:p>
      <w:pPr>
        <w:spacing w:after="20"/>
      </w:pPr>
      <w:r>
        <w:rPr>
          <w:b/>
        </w:rPr>
        <w:t>Work completed and evidence/location</w:t>
      </w:r>
    </w:p>
    <w:p>
      <w:pPr>
        <w:spacing w:after="140"/>
      </w:pPr>
      <w:r>
        <w:rPr>
          <w:i/>
          <w:color w:val="7D8791"/>
        </w:rPr>
        <w:t>[Enter details or write “Not applicable” and explain.]</w:t>
      </w:r>
    </w:p>
    <w:p>
      <w:pPr>
        <w:spacing w:after="20"/>
      </w:pPr>
      <w:r>
        <w:rPr>
          <w:b/>
        </w:rPr>
        <w:t>Current milestones and target dates</w:t>
      </w:r>
    </w:p>
    <w:p>
      <w:pPr>
        <w:spacing w:after="140"/>
      </w:pPr>
      <w:r>
        <w:rPr>
          <w:i/>
          <w:color w:val="7D8791"/>
        </w:rPr>
        <w:t>[Enter details or write “Not applicable” and explain.]</w:t>
      </w:r>
    </w:p>
    <w:p>
      <w:pPr>
        <w:spacing w:after="20"/>
      </w:pPr>
      <w:r>
        <w:rPr>
          <w:b/>
        </w:rPr>
        <w:t>Budget, procurement, or resource position (if applicable)</w:t>
      </w:r>
    </w:p>
    <w:p>
      <w:pPr>
        <w:spacing w:after="140"/>
      </w:pPr>
      <w:r>
        <w:rPr>
          <w:i/>
          <w:color w:val="7D8791"/>
        </w:rPr>
        <w:t>[Enter details or write “Not applicable” and explain.]</w:t>
      </w:r>
    </w:p>
    <w:p>
      <w:pPr>
        <w:spacing w:after="20"/>
      </w:pPr>
      <w:r>
        <w:rPr>
          <w:b/>
        </w:rPr>
        <w:t>Dependencies and risks</w:t>
      </w:r>
    </w:p>
    <w:p>
      <w:pPr>
        <w:spacing w:after="140"/>
      </w:pPr>
      <w:r>
        <w:rPr>
          <w:i/>
          <w:color w:val="7D8791"/>
        </w:rPr>
        <w:t>[Enter details or write “Not applicable” and explain.]</w:t>
      </w:r>
    </w:p>
    <w:p>
      <w:pPr>
        <w:pStyle w:val="Heading1"/>
      </w:pPr>
      <w:r>
        <w:t>Active work</w:t>
      </w:r>
    </w:p>
    <w:p>
      <w:pPr>
        <w:spacing w:after="20"/>
      </w:pPr>
      <w:r>
        <w:rPr>
          <w:b/>
        </w:rPr>
        <w:t>Work item / deliverable</w:t>
      </w:r>
    </w:p>
    <w:p>
      <w:pPr>
        <w:spacing w:after="140"/>
      </w:pPr>
      <w:r>
        <w:rPr>
          <w:i/>
          <w:color w:val="7D8791"/>
        </w:rPr>
        <w:t>[Enter details or write “Not applicable” and explain.]</w:t>
      </w:r>
    </w:p>
    <w:p>
      <w:pPr>
        <w:spacing w:after="20"/>
      </w:pPr>
      <w:r>
        <w:rPr>
          <w:b/>
        </w:rPr>
        <w:t>Current owner</w:t>
      </w:r>
    </w:p>
    <w:p>
      <w:pPr>
        <w:spacing w:after="140"/>
      </w:pPr>
      <w:r>
        <w:rPr>
          <w:i/>
          <w:color w:val="7D8791"/>
        </w:rPr>
        <w:t>[Enter details or write “Not applicable” and explain.]</w:t>
      </w:r>
    </w:p>
    <w:p>
      <w:pPr>
        <w:spacing w:after="20"/>
      </w:pPr>
      <w:r>
        <w:rPr>
          <w:b/>
        </w:rPr>
        <w:t>Next action</w:t>
      </w:r>
    </w:p>
    <w:p>
      <w:pPr>
        <w:spacing w:after="140"/>
      </w:pPr>
      <w:r>
        <w:rPr>
          <w:i/>
          <w:color w:val="7D8791"/>
        </w:rPr>
        <w:t>[Enter details or write “Not applicable” and explain.]</w:t>
      </w:r>
    </w:p>
    <w:p>
      <w:pPr>
        <w:spacing w:after="20"/>
      </w:pPr>
      <w:r>
        <w:rPr>
          <w:b/>
        </w:rPr>
        <w:t>Due date</w:t>
      </w:r>
    </w:p>
    <w:p>
      <w:pPr>
        <w:spacing w:after="140"/>
      </w:pPr>
      <w:r>
        <w:rPr>
          <w:i/>
          <w:color w:val="7D8791"/>
        </w:rPr>
        <w:t>[Enter details or write “Not applicable” and explain.]</w:t>
      </w:r>
    </w:p>
    <w:p>
      <w:pPr>
        <w:spacing w:after="20"/>
      </w:pPr>
      <w:r>
        <w:rPr>
          <w:b/>
        </w:rPr>
        <w:t>Blocker or decision needed</w:t>
      </w:r>
    </w:p>
    <w:p>
      <w:pPr>
        <w:spacing w:after="140"/>
      </w:pPr>
      <w:r>
        <w:rPr>
          <w:i/>
          <w:color w:val="7D8791"/>
        </w:rPr>
        <w:t>[Enter details or write “Not applicable” and explain.]</w:t>
      </w:r>
    </w:p>
    <w:p>
      <w:pPr>
        <w:pStyle w:val="Heading1"/>
      </w:pPr>
      <w:r>
        <w:t>Decisions and contacts</w:t>
      </w:r>
    </w:p>
    <w:p>
      <w:pPr>
        <w:spacing w:after="20"/>
      </w:pPr>
      <w:r>
        <w:rPr>
          <w:b/>
        </w:rPr>
        <w:t>Key decisions made and rationale</w:t>
      </w:r>
    </w:p>
    <w:p>
      <w:pPr>
        <w:spacing w:after="140"/>
      </w:pPr>
      <w:r>
        <w:rPr>
          <w:i/>
          <w:color w:val="7D8791"/>
        </w:rPr>
        <w:t>[Enter details or write “Not applicable” and explain.]</w:t>
      </w:r>
    </w:p>
    <w:p>
      <w:pPr>
        <w:spacing w:after="20"/>
      </w:pPr>
      <w:r>
        <w:rPr>
          <w:b/>
        </w:rPr>
        <w:t>Open decisions, decision owner, and required-by date</w:t>
      </w:r>
    </w:p>
    <w:p>
      <w:pPr>
        <w:spacing w:after="140"/>
      </w:pPr>
      <w:r>
        <w:rPr>
          <w:i/>
          <w:color w:val="7D8791"/>
        </w:rPr>
        <w:t>[Enter details or write “Not applicable” and explain.]</w:t>
      </w:r>
    </w:p>
    <w:p>
      <w:pPr>
        <w:spacing w:after="20"/>
      </w:pPr>
      <w:r>
        <w:rPr>
          <w:b/>
        </w:rPr>
        <w:t>Stakeholders, suppliers, and contact route</w:t>
      </w:r>
    </w:p>
    <w:p>
      <w:pPr>
        <w:spacing w:after="140"/>
      </w:pPr>
      <w:r>
        <w:rPr>
          <w:i/>
          <w:color w:val="7D8791"/>
        </w:rPr>
        <w:t>[Enter details or write “Not applicable” and explain.]</w:t>
      </w:r>
    </w:p>
    <w:p>
      <w:pPr>
        <w:pStyle w:val="Heading1"/>
      </w:pPr>
      <w:r>
        <w:t>Transition</w:t>
      </w:r>
    </w:p>
    <w:p>
      <w:pPr>
        <w:spacing w:after="20"/>
      </w:pPr>
      <w:r>
        <w:rPr>
          <w:b/>
        </w:rPr>
        <w:t>Recommended incoming owner</w:t>
      </w:r>
    </w:p>
    <w:p>
      <w:pPr>
        <w:spacing w:after="140"/>
      </w:pPr>
      <w:r>
        <w:rPr>
          <w:i/>
          <w:color w:val="7D8791"/>
        </w:rPr>
        <w:t>[Enter details or write “Not applicable” and explain.]</w:t>
      </w:r>
    </w:p>
    <w:p>
      <w:pPr>
        <w:spacing w:after="20"/>
      </w:pPr>
      <w:r>
        <w:rPr>
          <w:b/>
        </w:rPr>
        <w:t>First-week actions</w:t>
      </w:r>
    </w:p>
    <w:p>
      <w:pPr>
        <w:spacing w:after="140"/>
      </w:pPr>
      <w:r>
        <w:rPr>
          <w:i/>
          <w:color w:val="7D8791"/>
        </w:rPr>
        <w:t>[Enter details or write “Not applicable” and explain.]</w:t>
      </w:r>
    </w:p>
    <w:p>
      <w:pPr>
        <w:spacing w:after="20"/>
      </w:pPr>
      <w:r>
        <w:rPr>
          <w:b/>
        </w:rPr>
        <w:t>Project files, repository, board, and records locations</w:t>
      </w:r>
    </w:p>
    <w:p>
      <w:pPr>
        <w:spacing w:after="140"/>
      </w:pPr>
      <w:r>
        <w:rPr>
          <w:i/>
          <w:color w:val="7D8791"/>
        </w:rPr>
        <w:t>[Enter details or write “Not applicable” and explain.]</w:t>
      </w:r>
    </w:p>
    <w:p>
      <w:pPr>
        <w:spacing w:after="20"/>
      </w:pPr>
      <w:r>
        <w:rPr>
          <w:b/>
        </w:rPr>
        <w:t>Access that must be transferred through approved IT process</w:t>
      </w:r>
    </w:p>
    <w:p>
      <w:pPr>
        <w:spacing w:after="140"/>
      </w:pPr>
      <w:r>
        <w:rPr>
          <w:i/>
          <w:color w:val="7D8791"/>
        </w:rPr>
        <w:t>[Enter details or write “Not applicable” and explain.]</w:t>
      </w:r>
    </w:p>
    <w:p>
      <w:pPr>
        <w:pStyle w:val="Heading1"/>
      </w:pPr>
      <w:r>
        <w:t>Handover confirmation</w:t>
      </w:r>
    </w:p>
    <w:p>
      <w:r>
        <w:t>Departing staff member: ______________________________    Date: ______________</w:t>
      </w:r>
    </w:p>
    <w:p>
      <w:r>
        <w:t>Successor / interim owner: _____________________________    Date: ______________</w:t>
      </w:r>
    </w:p>
    <w:p>
      <w:r>
        <w:t>Manager / reviewer: ___________________________________    Date: ______________</w:t>
      </w:r>
    </w:p>
    <w:p>
      <w:r>
        <w:t>Open follow-up after handover: [List items, owners, and due dates, or state “None”.]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CUT-ELAMS  |  Knowledge handover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