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Department Procedures and Continuity Handover</w:t>
      </w:r>
    </w:p>
    <w:p>
      <w:r>
        <w:rPr>
          <w:b/>
        </w:rPr>
        <w:t xml:space="preserve">Purpose  </w:t>
      </w:r>
      <w:r>
        <w:t>Summarize the procedures and continuity arrangements a successor needs to keep departmental services operating.</w:t>
      </w:r>
    </w:p>
    <w:p>
      <w:r>
        <w:t>Complete this template before transition. Use links to the approved institutional record locations. Do not include passwords, secret keys, personal data beyond what the successor needs, or unapproved copies of restricted research data.</w:t>
      </w:r>
    </w:p>
    <w:p>
      <w:pPr>
        <w:pStyle w:val="Heading1"/>
      </w:pPr>
      <w:r>
        <w:t>Handover details</w:t>
      </w:r>
    </w:p>
    <w:tbl>
      <w:tblPr>
        <w:tblStyle w:val="LightShading-Accent1"/>
        <w:tblW w:type="auto" w:w="0"/>
        <w:jc w:val="center"/>
        <w:tblLook w:firstColumn="1" w:firstRow="1" w:lastColumn="0" w:lastRow="0" w:noHBand="0" w:noVBand="1" w:val="04A0"/>
      </w:tblPr>
      <w:tblGrid>
        <w:gridCol w:w="5040"/>
        <w:gridCol w:w="5040"/>
      </w:tblGrid>
      <w:tr>
        <w:tc>
          <w:tcPr>
            <w:tcW w:type="dxa" w:w="5040"/>
            <w:shd w:fill="DCE9EF"/>
          </w:tcPr>
          <w:p>
            <w:r>
              <w:t>Departing staff member and role</w:t>
            </w:r>
          </w:p>
        </w:tc>
        <w:tc>
          <w:tcPr>
            <w:tcW w:type="dxa" w:w="5040"/>
          </w:tcPr>
          <w:p>
            <w:r>
              <w:t>[Enter details]</w:t>
            </w:r>
          </w:p>
        </w:tc>
      </w:tr>
      <w:tr>
        <w:tc>
          <w:tcPr>
            <w:tcW w:type="dxa" w:w="5040"/>
            <w:shd w:fill="DCE9EF"/>
          </w:tcPr>
          <w:p>
            <w:r>
              <w:t>Department / unit</w:t>
            </w:r>
          </w:p>
        </w:tc>
        <w:tc>
          <w:tcPr>
            <w:tcW w:type="dxa" w:w="5040"/>
          </w:tcPr>
          <w:p>
            <w:r>
              <w:t>[Enter details]</w:t>
            </w:r>
          </w:p>
        </w:tc>
      </w:tr>
      <w:tr>
        <w:tc>
          <w:tcPr>
            <w:tcW w:type="dxa" w:w="5040"/>
            <w:shd w:fill="DCE9EF"/>
          </w:tcPr>
          <w:p>
            <w:r>
              <w:t>Prepared on / effective handover date</w:t>
            </w:r>
          </w:p>
        </w:tc>
        <w:tc>
          <w:tcPr>
            <w:tcW w:type="dxa" w:w="5040"/>
          </w:tcPr>
          <w:p>
            <w:r>
              <w:t>[Enter details]</w:t>
            </w:r>
          </w:p>
        </w:tc>
      </w:tr>
    </w:tbl>
    <w:p>
      <w:pPr>
        <w:pStyle w:val="Heading1"/>
      </w:pPr>
      <w:r>
        <w:t>Department and service scope</w:t>
      </w:r>
    </w:p>
    <w:p>
      <w:pPr>
        <w:spacing w:after="20"/>
      </w:pPr>
      <w:r>
        <w:rPr>
          <w:b/>
        </w:rPr>
        <w:t>Department / unit</w:t>
      </w:r>
    </w:p>
    <w:p>
      <w:pPr>
        <w:spacing w:after="140"/>
      </w:pPr>
      <w:r>
        <w:rPr>
          <w:i/>
          <w:color w:val="7D8791"/>
        </w:rPr>
        <w:t>[Enter details or write “Not applicable” and explain.]</w:t>
      </w:r>
    </w:p>
    <w:p>
      <w:pPr>
        <w:spacing w:after="20"/>
      </w:pPr>
      <w:r>
        <w:rPr>
          <w:b/>
        </w:rPr>
        <w:t>Handover author and role</w:t>
      </w:r>
    </w:p>
    <w:p>
      <w:pPr>
        <w:spacing w:after="140"/>
      </w:pPr>
      <w:r>
        <w:rPr>
          <w:i/>
          <w:color w:val="7D8791"/>
        </w:rPr>
        <w:t>[Enter details or write “Not applicable” and explain.]</w:t>
      </w:r>
    </w:p>
    <w:p>
      <w:pPr>
        <w:spacing w:after="20"/>
      </w:pPr>
      <w:r>
        <w:rPr>
          <w:b/>
        </w:rPr>
        <w:t>Services this role supports</w:t>
      </w:r>
    </w:p>
    <w:p>
      <w:pPr>
        <w:spacing w:after="140"/>
      </w:pPr>
      <w:r>
        <w:rPr>
          <w:i/>
          <w:color w:val="7D8791"/>
        </w:rPr>
        <w:t>[Enter details or write “Not applicable” and explain.]</w:t>
      </w:r>
    </w:p>
    <w:p>
      <w:pPr>
        <w:spacing w:after="20"/>
      </w:pPr>
      <w:r>
        <w:rPr>
          <w:b/>
        </w:rPr>
        <w:t>Operating hours, service levels, and critical periods</w:t>
      </w:r>
    </w:p>
    <w:p>
      <w:pPr>
        <w:spacing w:after="140"/>
      </w:pPr>
      <w:r>
        <w:rPr>
          <w:i/>
          <w:color w:val="7D8791"/>
        </w:rPr>
        <w:t>[Enter details or write “Not applicable” and explain.]</w:t>
      </w:r>
    </w:p>
    <w:p>
      <w:pPr>
        <w:pStyle w:val="Heading1"/>
      </w:pPr>
      <w:r>
        <w:t>Core procedures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76B72"/>
          </w:tcPr>
          <w:p>
            <w:r>
              <w:rPr>
                <w:b/>
                <w:color w:val="FFFFFF"/>
              </w:rPr>
              <w:t>Procedure / service</w:t>
            </w:r>
          </w:p>
        </w:tc>
        <w:tc>
          <w:tcPr>
            <w:tcW w:type="dxa" w:w="2016"/>
            <w:shd w:fill="176B72"/>
          </w:tcPr>
          <w:p>
            <w:r>
              <w:rPr>
                <w:b/>
                <w:color w:val="FFFFFF"/>
              </w:rPr>
              <w:t>Frequency or trigger</w:t>
            </w:r>
          </w:p>
        </w:tc>
        <w:tc>
          <w:tcPr>
            <w:tcW w:type="dxa" w:w="2016"/>
            <w:shd w:fill="176B72"/>
          </w:tcPr>
          <w:p>
            <w:r>
              <w:rPr>
                <w:b/>
                <w:color w:val="FFFFFF"/>
              </w:rPr>
              <w:t>Responsible role</w:t>
            </w:r>
          </w:p>
        </w:tc>
        <w:tc>
          <w:tcPr>
            <w:tcW w:type="dxa" w:w="2016"/>
            <w:shd w:fill="176B72"/>
          </w:tcPr>
          <w:p>
            <w:r>
              <w:rPr>
                <w:b/>
                <w:color w:val="FFFFFF"/>
              </w:rPr>
              <w:t>Backup / escalation</w:t>
            </w:r>
          </w:p>
        </w:tc>
        <w:tc>
          <w:tcPr>
            <w:tcW w:type="dxa" w:w="2016"/>
            <w:shd w:fill="176B72"/>
          </w:tcPr>
          <w:p>
            <w:r>
              <w:rPr>
                <w:b/>
                <w:color w:val="FFFFFF"/>
              </w:rPr>
              <w:t>Record location</w:t>
            </w:r>
          </w:p>
        </w:tc>
      </w:tr>
      <w:tr>
        <w:tc>
          <w:tcPr>
            <w:tcW w:type="dxa" w:w="2016"/>
          </w:tcPr>
          <w:p>
            <w:r>
              <w:t>[Complete]</w:t>
            </w:r>
          </w:p>
        </w:tc>
        <w:tc>
          <w:tcPr>
            <w:tcW w:type="dxa" w:w="2016"/>
          </w:tcPr>
          <w:p>
            <w:r>
              <w:t>[Complete]</w:t>
            </w:r>
          </w:p>
        </w:tc>
        <w:tc>
          <w:tcPr>
            <w:tcW w:type="dxa" w:w="2016"/>
          </w:tcPr>
          <w:p>
            <w:r>
              <w:t>[Complete]</w:t>
            </w:r>
          </w:p>
        </w:tc>
        <w:tc>
          <w:tcPr>
            <w:tcW w:type="dxa" w:w="2016"/>
          </w:tcPr>
          <w:p>
            <w:r>
              <w:t>[Complete]</w:t>
            </w:r>
          </w:p>
        </w:tc>
        <w:tc>
          <w:tcPr>
            <w:tcW w:type="dxa" w:w="2016"/>
          </w:tcPr>
          <w:p>
            <w:r>
              <w:t>[Complete]</w:t>
            </w:r>
          </w:p>
        </w:tc>
      </w:tr>
    </w:tbl>
    <w:p>
      <w:pPr>
        <w:pStyle w:val="Heading1"/>
      </w:pPr>
      <w:r>
        <w:t>Continuity arrangements</w:t>
      </w:r>
    </w:p>
    <w:p>
      <w:pPr>
        <w:spacing w:after="20"/>
      </w:pPr>
      <w:r>
        <w:rPr>
          <w:b/>
        </w:rPr>
        <w:t>Critical service and maximum tolerable interruption</w:t>
      </w:r>
    </w:p>
    <w:p>
      <w:pPr>
        <w:spacing w:after="140"/>
      </w:pPr>
      <w:r>
        <w:rPr>
          <w:i/>
          <w:color w:val="7D8791"/>
        </w:rPr>
        <w:t>[Enter details or write “Not applicable” and explain.]</w:t>
      </w:r>
    </w:p>
    <w:p>
      <w:pPr>
        <w:spacing w:after="20"/>
      </w:pPr>
      <w:r>
        <w:rPr>
          <w:b/>
        </w:rPr>
        <w:t>Daily / weekly / monthly routines</w:t>
      </w:r>
    </w:p>
    <w:p>
      <w:pPr>
        <w:spacing w:after="140"/>
      </w:pPr>
      <w:r>
        <w:rPr>
          <w:i/>
          <w:color w:val="7D8791"/>
        </w:rPr>
        <w:t>[Enter details or write “Not applicable” and explain.]</w:t>
      </w:r>
    </w:p>
    <w:p>
      <w:pPr>
        <w:spacing w:after="20"/>
      </w:pPr>
      <w:r>
        <w:rPr>
          <w:b/>
        </w:rPr>
        <w:t>Cover arrangements and escalation contact</w:t>
      </w:r>
    </w:p>
    <w:p>
      <w:pPr>
        <w:spacing w:after="140"/>
      </w:pPr>
      <w:r>
        <w:rPr>
          <w:i/>
          <w:color w:val="7D8791"/>
        </w:rPr>
        <w:t>[Enter details or write “Not applicable” and explain.]</w:t>
      </w:r>
    </w:p>
    <w:p>
      <w:pPr>
        <w:spacing w:after="20"/>
      </w:pPr>
      <w:r>
        <w:rPr>
          <w:b/>
        </w:rPr>
        <w:t>Known single points of failure and workaround</w:t>
      </w:r>
    </w:p>
    <w:p>
      <w:pPr>
        <w:spacing w:after="140"/>
      </w:pPr>
      <w:r>
        <w:rPr>
          <w:i/>
          <w:color w:val="7D8791"/>
        </w:rPr>
        <w:t>[Enter details or write “Not applicable” and explain.]</w:t>
      </w:r>
    </w:p>
    <w:p>
      <w:pPr>
        <w:spacing w:after="20"/>
      </w:pPr>
      <w:r>
        <w:rPr>
          <w:b/>
        </w:rPr>
        <w:t>Peak periods, deadlines, and annual cycle</w:t>
      </w:r>
    </w:p>
    <w:p>
      <w:pPr>
        <w:spacing w:after="140"/>
      </w:pPr>
      <w:r>
        <w:rPr>
          <w:i/>
          <w:color w:val="7D8791"/>
        </w:rPr>
        <w:t>[Enter details or write “Not applicable” and explain.]</w:t>
      </w:r>
    </w:p>
    <w:p>
      <w:pPr>
        <w:pStyle w:val="Heading1"/>
      </w:pPr>
      <w:r>
        <w:t>Controls and records</w:t>
      </w:r>
    </w:p>
    <w:p>
      <w:pPr>
        <w:spacing w:after="20"/>
      </w:pPr>
      <w:r>
        <w:rPr>
          <w:b/>
        </w:rPr>
        <w:t>Required approvals and separation of duties</w:t>
      </w:r>
    </w:p>
    <w:p>
      <w:pPr>
        <w:spacing w:after="140"/>
      </w:pPr>
      <w:r>
        <w:rPr>
          <w:i/>
          <w:color w:val="7D8791"/>
        </w:rPr>
        <w:t>[Enter details or write “Not applicable” and explain.]</w:t>
      </w:r>
    </w:p>
    <w:p>
      <w:pPr>
        <w:spacing w:after="20"/>
      </w:pPr>
      <w:r>
        <w:rPr>
          <w:b/>
        </w:rPr>
        <w:t>Records retention location and access owner</w:t>
      </w:r>
    </w:p>
    <w:p>
      <w:pPr>
        <w:spacing w:after="140"/>
      </w:pPr>
      <w:r>
        <w:rPr>
          <w:i/>
          <w:color w:val="7D8791"/>
        </w:rPr>
        <w:t>[Enter details or write “Not applicable” and explain.]</w:t>
      </w:r>
    </w:p>
    <w:p>
      <w:pPr>
        <w:spacing w:after="20"/>
      </w:pPr>
      <w:r>
        <w:rPr>
          <w:b/>
        </w:rPr>
        <w:t>Health, safety, privacy, or compliance requirements</w:t>
      </w:r>
    </w:p>
    <w:p>
      <w:pPr>
        <w:spacing w:after="140"/>
      </w:pPr>
      <w:r>
        <w:rPr>
          <w:i/>
          <w:color w:val="7D8791"/>
        </w:rPr>
        <w:t>[Enter details or write “Not applicable” and explain.]</w:t>
      </w:r>
    </w:p>
    <w:p>
      <w:pPr>
        <w:pStyle w:val="Heading1"/>
      </w:pPr>
      <w:r>
        <w:t>Transition actions</w:t>
      </w:r>
    </w:p>
    <w:p>
      <w:pPr>
        <w:spacing w:after="20"/>
      </w:pPr>
      <w:r>
        <w:rPr>
          <w:b/>
        </w:rPr>
        <w:t>Procedure owner after departure</w:t>
      </w:r>
    </w:p>
    <w:p>
      <w:pPr>
        <w:spacing w:after="140"/>
      </w:pPr>
      <w:r>
        <w:rPr>
          <w:i/>
          <w:color w:val="7D8791"/>
        </w:rPr>
        <w:t>[Enter details or write “Not applicable” and explain.]</w:t>
      </w:r>
    </w:p>
    <w:p>
      <w:pPr>
        <w:spacing w:after="20"/>
      </w:pPr>
      <w:r>
        <w:rPr>
          <w:b/>
        </w:rPr>
        <w:t>Training or shadowing required</w:t>
      </w:r>
    </w:p>
    <w:p>
      <w:pPr>
        <w:spacing w:after="140"/>
      </w:pPr>
      <w:r>
        <w:rPr>
          <w:i/>
          <w:color w:val="7D8791"/>
        </w:rPr>
        <w:t>[Enter details or write “Not applicable” and explain.]</w:t>
      </w:r>
    </w:p>
    <w:p>
      <w:pPr>
        <w:spacing w:after="20"/>
      </w:pPr>
      <w:r>
        <w:rPr>
          <w:b/>
        </w:rPr>
        <w:t>Updates needed and target dates</w:t>
      </w:r>
    </w:p>
    <w:p>
      <w:pPr>
        <w:spacing w:after="140"/>
      </w:pPr>
      <w:r>
        <w:rPr>
          <w:i/>
          <w:color w:val="7D8791"/>
        </w:rPr>
        <w:t>[Enter details or write “Not applicable” and explain.]</w:t>
      </w:r>
    </w:p>
    <w:p>
      <w:pPr>
        <w:pStyle w:val="Heading1"/>
      </w:pPr>
      <w:r>
        <w:t>Handover confirmation</w:t>
      </w:r>
    </w:p>
    <w:p>
      <w:r>
        <w:t>Departing staff member: ______________________________    Date: ______________</w:t>
      </w:r>
    </w:p>
    <w:p>
      <w:r>
        <w:t>Successor / interim owner: _____________________________    Date: ______________</w:t>
      </w:r>
    </w:p>
    <w:p>
      <w:r>
        <w:t>Manager / reviewer: ___________________________________    Date: ______________</w:t>
      </w:r>
    </w:p>
    <w:p>
      <w:r>
        <w:t>Open follow-up after handover: [List items, owners, and due dates, or state “None”.]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CUT-ELAMS  |  Knowledge handover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7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