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Outstanding Tasks and Obligations Handover</w:t>
      </w:r>
    </w:p>
    <w:p>
      <w:r>
        <w:rPr>
          <w:b/>
        </w:rPr>
        <w:t xml:space="preserve">Purpose  </w:t>
      </w:r>
      <w:r>
        <w:t>List open obligations, pending work, commitments, and transition items that need follow-up after departure.</w:t>
      </w:r>
    </w:p>
    <w:p>
      <w:r>
        <w:t>Complete this template before transition. Use links to the approved institutional record locations. Do not include passwords, secret keys, personal data beyond what the successor needs, or unapproved copies of restricted research data.</w:t>
      </w:r>
    </w:p>
    <w:p>
      <w:pPr>
        <w:pStyle w:val="Heading1"/>
      </w:pPr>
      <w:r>
        <w:t>Handover details</w:t>
      </w:r>
    </w:p>
    <w:tbl>
      <w:tblPr>
        <w:tblStyle w:val="LightShading-Accent1"/>
        <w:tblW w:type="auto" w:w="0"/>
        <w:jc w:val="center"/>
        <w:tblLook w:firstColumn="1" w:firstRow="1" w:lastColumn="0" w:lastRow="0" w:noHBand="0" w:noVBand="1" w:val="04A0"/>
      </w:tblPr>
      <w:tblGrid>
        <w:gridCol w:w="5040"/>
        <w:gridCol w:w="5040"/>
      </w:tblGrid>
      <w:tr>
        <w:tc>
          <w:tcPr>
            <w:tcW w:type="dxa" w:w="5040"/>
            <w:shd w:fill="DCE9EF"/>
          </w:tcPr>
          <w:p>
            <w:r>
              <w:t>Departing staff member and role</w:t>
            </w:r>
          </w:p>
        </w:tc>
        <w:tc>
          <w:tcPr>
            <w:tcW w:type="dxa" w:w="5040"/>
          </w:tcPr>
          <w:p>
            <w:r>
              <w:t>[Enter details]</w:t>
            </w:r>
          </w:p>
        </w:tc>
      </w:tr>
      <w:tr>
        <w:tc>
          <w:tcPr>
            <w:tcW w:type="dxa" w:w="5040"/>
            <w:shd w:fill="DCE9EF"/>
          </w:tcPr>
          <w:p>
            <w:r>
              <w:t>Department / unit</w:t>
            </w:r>
          </w:p>
        </w:tc>
        <w:tc>
          <w:tcPr>
            <w:tcW w:type="dxa" w:w="5040"/>
          </w:tcPr>
          <w:p>
            <w:r>
              <w:t>[Enter details]</w:t>
            </w:r>
          </w:p>
        </w:tc>
      </w:tr>
      <w:tr>
        <w:tc>
          <w:tcPr>
            <w:tcW w:type="dxa" w:w="5040"/>
            <w:shd w:fill="DCE9EF"/>
          </w:tcPr>
          <w:p>
            <w:r>
              <w:t>Prepared on / effective handover date</w:t>
            </w:r>
          </w:p>
        </w:tc>
        <w:tc>
          <w:tcPr>
            <w:tcW w:type="dxa" w:w="5040"/>
          </w:tcPr>
          <w:p>
            <w:r>
              <w:t>[Enter details]</w:t>
            </w:r>
          </w:p>
        </w:tc>
      </w:tr>
    </w:tbl>
    <w:p>
      <w:pPr>
        <w:pStyle w:val="Heading1"/>
      </w:pPr>
      <w:r>
        <w:t>Coverage and priority</w:t>
      </w:r>
    </w:p>
    <w:p>
      <w:pPr>
        <w:spacing w:after="20"/>
      </w:pPr>
      <w:r>
        <w:rPr>
          <w:b/>
        </w:rPr>
        <w:t>Departing staff member and role</w:t>
      </w:r>
    </w:p>
    <w:p>
      <w:pPr>
        <w:spacing w:after="140"/>
      </w:pPr>
      <w:r>
        <w:rPr>
          <w:i/>
          <w:color w:val="7D8791"/>
        </w:rPr>
        <w:t>[Enter details or write “Not applicable” and explain.]</w:t>
      </w:r>
    </w:p>
    <w:p>
      <w:pPr>
        <w:spacing w:after="20"/>
      </w:pPr>
      <w:r>
        <w:rPr>
          <w:b/>
        </w:rPr>
        <w:t>Department</w:t>
      </w:r>
    </w:p>
    <w:p>
      <w:pPr>
        <w:spacing w:after="140"/>
      </w:pPr>
      <w:r>
        <w:rPr>
          <w:i/>
          <w:color w:val="7D8791"/>
        </w:rPr>
        <w:t>[Enter details or write “Not applicable” and explain.]</w:t>
      </w:r>
    </w:p>
    <w:p>
      <w:pPr>
        <w:spacing w:after="20"/>
      </w:pPr>
      <w:r>
        <w:rPr>
          <w:b/>
        </w:rPr>
        <w:t>Handover date</w:t>
      </w:r>
    </w:p>
    <w:p>
      <w:pPr>
        <w:spacing w:after="140"/>
      </w:pPr>
      <w:r>
        <w:rPr>
          <w:i/>
          <w:color w:val="7D8791"/>
        </w:rPr>
        <w:t>[Enter details or write “Not applicable” and explain.]</w:t>
      </w:r>
    </w:p>
    <w:p>
      <w:pPr>
        <w:spacing w:after="20"/>
      </w:pPr>
      <w:r>
        <w:rPr>
          <w:b/>
        </w:rPr>
        <w:t>Priority guide: Critical / High / Normal / Low</w:t>
      </w:r>
    </w:p>
    <w:p>
      <w:pPr>
        <w:spacing w:after="140"/>
      </w:pPr>
      <w:r>
        <w:rPr>
          <w:i/>
          <w:color w:val="7D8791"/>
        </w:rPr>
        <w:t>[Enter details or write “Not applicable” and explain.]</w:t>
      </w:r>
    </w:p>
    <w:p>
      <w:pPr>
        <w:pStyle w:val="Heading1"/>
      </w:pPr>
      <w:r>
        <w:t>Open items register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6B72"/>
          </w:tcPr>
          <w:p>
            <w:r>
              <w:rPr>
                <w:b/>
                <w:color w:val="FFFFFF"/>
              </w:rPr>
              <w:t>Task / obligation</w:t>
            </w:r>
          </w:p>
        </w:tc>
        <w:tc>
          <w:tcPr>
            <w:tcW w:type="dxa" w:w="1680"/>
            <w:shd w:fill="176B72"/>
          </w:tcPr>
          <w:p>
            <w:r>
              <w:rPr>
                <w:b/>
                <w:color w:val="FFFFFF"/>
              </w:rPr>
              <w:t>Priority</w:t>
            </w:r>
          </w:p>
        </w:tc>
        <w:tc>
          <w:tcPr>
            <w:tcW w:type="dxa" w:w="1680"/>
            <w:shd w:fill="176B72"/>
          </w:tcPr>
          <w:p>
            <w:r>
              <w:rPr>
                <w:b/>
                <w:color w:val="FFFFFF"/>
              </w:rPr>
              <w:t>Owner after handover</w:t>
            </w:r>
          </w:p>
        </w:tc>
        <w:tc>
          <w:tcPr>
            <w:tcW w:type="dxa" w:w="1680"/>
            <w:shd w:fill="176B72"/>
          </w:tcPr>
          <w:p>
            <w:r>
              <w:rPr>
                <w:b/>
                <w:color w:val="FFFFFF"/>
              </w:rPr>
              <w:t>Next action</w:t>
            </w:r>
          </w:p>
        </w:tc>
        <w:tc>
          <w:tcPr>
            <w:tcW w:type="dxa" w:w="1680"/>
            <w:shd w:fill="176B72"/>
          </w:tcPr>
          <w:p>
            <w:r>
              <w:rPr>
                <w:b/>
                <w:color w:val="FFFFFF"/>
              </w:rPr>
              <w:t>Due date</w:t>
            </w:r>
          </w:p>
        </w:tc>
        <w:tc>
          <w:tcPr>
            <w:tcW w:type="dxa" w:w="1680"/>
            <w:shd w:fill="176B72"/>
          </w:tcPr>
          <w:p>
            <w:r>
              <w:rPr>
                <w:b/>
                <w:color w:val="FFFFFF"/>
              </w:rPr>
              <w:t>Record / link</w:t>
            </w:r>
          </w:p>
        </w:tc>
      </w:tr>
      <w:tr>
        <w:tc>
          <w:tcPr>
            <w:tcW w:type="dxa" w:w="1680"/>
          </w:tcPr>
          <w:p>
            <w:r>
              <w:t>[Complete]</w:t>
            </w:r>
          </w:p>
        </w:tc>
        <w:tc>
          <w:tcPr>
            <w:tcW w:type="dxa" w:w="1680"/>
          </w:tcPr>
          <w:p>
            <w:r>
              <w:t>[Complete]</w:t>
            </w:r>
          </w:p>
        </w:tc>
        <w:tc>
          <w:tcPr>
            <w:tcW w:type="dxa" w:w="1680"/>
          </w:tcPr>
          <w:p>
            <w:r>
              <w:t>[Complete]</w:t>
            </w:r>
          </w:p>
        </w:tc>
        <w:tc>
          <w:tcPr>
            <w:tcW w:type="dxa" w:w="1680"/>
          </w:tcPr>
          <w:p>
            <w:r>
              <w:t>[Complete]</w:t>
            </w:r>
          </w:p>
        </w:tc>
        <w:tc>
          <w:tcPr>
            <w:tcW w:type="dxa" w:w="1680"/>
          </w:tcPr>
          <w:p>
            <w:r>
              <w:t>[Complete]</w:t>
            </w:r>
          </w:p>
        </w:tc>
        <w:tc>
          <w:tcPr>
            <w:tcW w:type="dxa" w:w="1680"/>
          </w:tcPr>
          <w:p>
            <w:r>
              <w:t>[Complete]</w:t>
            </w:r>
          </w:p>
        </w:tc>
      </w:tr>
    </w:tbl>
    <w:p>
      <w:r>
        <w:t>Include work, approvals, incidents, correspondence, deadlines, purchases, and commitments. Record only information the successor needs; link to the authoritative record.</w:t>
      </w:r>
    </w:p>
    <w:p>
      <w:pPr>
        <w:pStyle w:val="Heading1"/>
      </w:pPr>
      <w:r>
        <w:t>Escalations and risks</w:t>
      </w:r>
    </w:p>
    <w:p>
      <w:pPr>
        <w:spacing w:after="20"/>
      </w:pPr>
      <w:r>
        <w:rPr>
          <w:b/>
        </w:rPr>
        <w:t>Items at risk of missing a deadline</w:t>
      </w:r>
    </w:p>
    <w:p>
      <w:pPr>
        <w:spacing w:after="140"/>
      </w:pPr>
      <w:r>
        <w:rPr>
          <w:i/>
          <w:color w:val="7D8791"/>
        </w:rPr>
        <w:t>[Enter details or write “Not applicable” and explain.]</w:t>
      </w:r>
    </w:p>
    <w:p>
      <w:pPr>
        <w:spacing w:after="20"/>
      </w:pPr>
      <w:r>
        <w:rPr>
          <w:b/>
        </w:rPr>
        <w:t>External or internal commitments already communicated</w:t>
      </w:r>
    </w:p>
    <w:p>
      <w:pPr>
        <w:spacing w:after="140"/>
      </w:pPr>
      <w:r>
        <w:rPr>
          <w:i/>
          <w:color w:val="7D8791"/>
        </w:rPr>
        <w:t>[Enter details or write “Not applicable” and explain.]</w:t>
      </w:r>
    </w:p>
    <w:p>
      <w:pPr>
        <w:spacing w:after="20"/>
      </w:pPr>
      <w:r>
        <w:rPr>
          <w:b/>
        </w:rPr>
        <w:t>Decisions needed and decision-maker</w:t>
      </w:r>
    </w:p>
    <w:p>
      <w:pPr>
        <w:spacing w:after="140"/>
      </w:pPr>
      <w:r>
        <w:rPr>
          <w:i/>
          <w:color w:val="7D8791"/>
        </w:rPr>
        <w:t>[Enter details or write “Not applicable” and explain.]</w:t>
      </w:r>
    </w:p>
    <w:p>
      <w:pPr>
        <w:spacing w:after="20"/>
      </w:pPr>
      <w:r>
        <w:rPr>
          <w:b/>
        </w:rPr>
        <w:t>Known blockers and proposed next step</w:t>
      </w:r>
    </w:p>
    <w:p>
      <w:pPr>
        <w:spacing w:after="140"/>
      </w:pPr>
      <w:r>
        <w:rPr>
          <w:i/>
          <w:color w:val="7D8791"/>
        </w:rPr>
        <w:t>[Enter details or write “Not applicable” and explain.]</w:t>
      </w:r>
    </w:p>
    <w:p>
      <w:pPr>
        <w:pStyle w:val="Heading1"/>
      </w:pPr>
      <w:r>
        <w:t>Closure and acceptance</w:t>
      </w:r>
    </w:p>
    <w:p>
      <w:pPr>
        <w:spacing w:after="20"/>
      </w:pPr>
      <w:r>
        <w:rPr>
          <w:b/>
        </w:rPr>
        <w:t>Records transferred and verified</w:t>
      </w:r>
    </w:p>
    <w:p>
      <w:pPr>
        <w:spacing w:after="140"/>
      </w:pPr>
      <w:r>
        <w:rPr>
          <w:i/>
          <w:color w:val="7D8791"/>
        </w:rPr>
        <w:t>[Enter details or write “Not applicable” and explain.]</w:t>
      </w:r>
    </w:p>
    <w:p>
      <w:pPr>
        <w:spacing w:after="20"/>
      </w:pPr>
      <w:r>
        <w:rPr>
          <w:b/>
        </w:rPr>
        <w:t>Items reassigned in the authoritative system</w:t>
      </w:r>
    </w:p>
    <w:p>
      <w:pPr>
        <w:spacing w:after="140"/>
      </w:pPr>
      <w:r>
        <w:rPr>
          <w:i/>
          <w:color w:val="7D8791"/>
        </w:rPr>
        <w:t>[Enter details or write “Not applicable” and explain.]</w:t>
      </w:r>
    </w:p>
    <w:p>
      <w:pPr>
        <w:spacing w:after="20"/>
      </w:pPr>
      <w:r>
        <w:rPr>
          <w:b/>
        </w:rPr>
        <w:t>Successor questions / training outstanding</w:t>
      </w:r>
    </w:p>
    <w:p>
      <w:pPr>
        <w:spacing w:after="140"/>
      </w:pPr>
      <w:r>
        <w:rPr>
          <w:i/>
          <w:color w:val="7D8791"/>
        </w:rPr>
        <w:t>[Enter details or write “Not applicable” and explain.]</w:t>
      </w:r>
    </w:p>
    <w:p>
      <w:pPr>
        <w:spacing w:after="20"/>
      </w:pPr>
      <w:r>
        <w:rPr>
          <w:b/>
        </w:rPr>
        <w:t>Handover accepted by and date</w:t>
      </w:r>
    </w:p>
    <w:p>
      <w:pPr>
        <w:spacing w:after="140"/>
      </w:pPr>
      <w:r>
        <w:rPr>
          <w:i/>
          <w:color w:val="7D8791"/>
        </w:rPr>
        <w:t>[Enter details or write “Not applicable” and explain.]</w:t>
      </w:r>
    </w:p>
    <w:p>
      <w:pPr>
        <w:pStyle w:val="Heading1"/>
      </w:pPr>
      <w:r>
        <w:t>Handover confirmation</w:t>
      </w:r>
    </w:p>
    <w:p>
      <w:r>
        <w:t>Departing staff member: ______________________________    Date: ______________</w:t>
      </w:r>
    </w:p>
    <w:p>
      <w:r>
        <w:t>Successor / interim owner: _____________________________    Date: ______________</w:t>
      </w:r>
    </w:p>
    <w:p>
      <w:r>
        <w:t>Manager / reviewer: ___________________________________    Date: ______________</w:t>
      </w:r>
    </w:p>
    <w:p>
      <w:r>
        <w:t>Open follow-up after handover: [List items, owners, and due dates, or state “None”.]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CUT-ELAMS  |  Knowledge handover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