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and Academic Handover</w:t>
      </w:r>
    </w:p>
    <w:p>
      <w:r>
        <w:rPr>
          <w:b/>
        </w:rPr>
        <w:t xml:space="preserve">Purpose  </w:t>
      </w:r>
      <w:r>
        <w:t>Provide teaching, academic asset, and research continuity information required by the institution.</w:t>
      </w:r>
    </w:p>
    <w:p>
      <w:r>
        <w:t>Complete this template before transition. Use links to the approved institutional record locations. Do not include passwords, secret keys, personal data beyond what the successor needs, or unapproved copies of restricted research data.</w:t>
      </w:r>
    </w:p>
    <w:p>
      <w:pPr>
        <w:pStyle w:val="Heading1"/>
      </w:pPr>
      <w:r>
        <w:t>Handover details</w:t>
      </w:r>
    </w:p>
    <w:tbl>
      <w:tblPr>
        <w:tblStyle w:val="LightShading-Accent1"/>
        <w:tblW w:type="auto" w:w="0"/>
        <w:jc w:val="center"/>
        <w:tblLook w:firstColumn="1" w:firstRow="1" w:lastColumn="0" w:lastRow="0" w:noHBand="0" w:noVBand="1" w:val="04A0"/>
      </w:tblPr>
      <w:tblGrid>
        <w:gridCol w:w="5040"/>
        <w:gridCol w:w="5040"/>
      </w:tblGrid>
      <w:tr>
        <w:tc>
          <w:tcPr>
            <w:tcW w:type="dxa" w:w="5040"/>
            <w:shd w:fill="DCE9EF"/>
          </w:tcPr>
          <w:p>
            <w:r>
              <w:t>Departing staff member and role</w:t>
            </w:r>
          </w:p>
        </w:tc>
        <w:tc>
          <w:tcPr>
            <w:tcW w:type="dxa" w:w="5040"/>
          </w:tcPr>
          <w:p>
            <w:r>
              <w:t>[Enter details]</w:t>
            </w:r>
          </w:p>
        </w:tc>
      </w:tr>
      <w:tr>
        <w:tc>
          <w:tcPr>
            <w:tcW w:type="dxa" w:w="5040"/>
            <w:shd w:fill="DCE9EF"/>
          </w:tcPr>
          <w:p>
            <w:r>
              <w:t>Department / unit</w:t>
            </w:r>
          </w:p>
        </w:tc>
        <w:tc>
          <w:tcPr>
            <w:tcW w:type="dxa" w:w="5040"/>
          </w:tcPr>
          <w:p>
            <w:r>
              <w:t>[Enter details]</w:t>
            </w:r>
          </w:p>
        </w:tc>
      </w:tr>
      <w:tr>
        <w:tc>
          <w:tcPr>
            <w:tcW w:type="dxa" w:w="5040"/>
            <w:shd w:fill="DCE9EF"/>
          </w:tcPr>
          <w:p>
            <w:r>
              <w:t>Prepared on / effective handover date</w:t>
            </w:r>
          </w:p>
        </w:tc>
        <w:tc>
          <w:tcPr>
            <w:tcW w:type="dxa" w:w="5040"/>
          </w:tcPr>
          <w:p>
            <w:r>
              <w:t>[Enter details]</w:t>
            </w:r>
          </w:p>
        </w:tc>
      </w:tr>
    </w:tbl>
    <w:p>
      <w:pPr>
        <w:pStyle w:val="Heading1"/>
      </w:pPr>
      <w:r>
        <w:t>Teaching and academic delivery</w:t>
      </w:r>
    </w:p>
    <w:p>
      <w:pPr>
        <w:spacing w:after="20"/>
      </w:pPr>
      <w:r>
        <w:rPr>
          <w:b/>
        </w:rPr>
        <w:t>Courses, modules, or programmes supported</w:t>
      </w:r>
    </w:p>
    <w:p>
      <w:pPr>
        <w:spacing w:after="140"/>
      </w:pPr>
      <w:r>
        <w:rPr>
          <w:i/>
          <w:color w:val="7D8791"/>
        </w:rPr>
        <w:t>[Enter details or write “Not applicable” and explain.]</w:t>
      </w:r>
    </w:p>
    <w:p>
      <w:pPr>
        <w:spacing w:after="20"/>
      </w:pPr>
      <w:r>
        <w:rPr>
          <w:b/>
        </w:rPr>
        <w:t>Teaching schedule, assessment dates, and moderation duties</w:t>
      </w:r>
    </w:p>
    <w:p>
      <w:pPr>
        <w:spacing w:after="140"/>
      </w:pPr>
      <w:r>
        <w:rPr>
          <w:i/>
          <w:color w:val="7D8791"/>
        </w:rPr>
        <w:t>[Enter details or write “Not applicable” and explain.]</w:t>
      </w:r>
    </w:p>
    <w:p>
      <w:pPr>
        <w:spacing w:after="20"/>
      </w:pPr>
      <w:r>
        <w:rPr>
          <w:b/>
        </w:rPr>
        <w:t>Current cohort status and required student support handover</w:t>
      </w:r>
    </w:p>
    <w:p>
      <w:pPr>
        <w:spacing w:after="140"/>
      </w:pPr>
      <w:r>
        <w:rPr>
          <w:i/>
          <w:color w:val="7D8791"/>
        </w:rPr>
        <w:t>[Enter details or write “Not applicable” and explain.]</w:t>
      </w:r>
    </w:p>
    <w:p>
      <w:pPr>
        <w:spacing w:after="20"/>
      </w:pPr>
      <w:r>
        <w:rPr>
          <w:b/>
        </w:rPr>
        <w:t>Learning materials location and permissions</w:t>
      </w:r>
    </w:p>
    <w:p>
      <w:pPr>
        <w:spacing w:after="140"/>
      </w:pPr>
      <w:r>
        <w:rPr>
          <w:i/>
          <w:color w:val="7D8791"/>
        </w:rPr>
        <w:t>[Enter details or write “Not applicable” and explain.]</w:t>
      </w:r>
    </w:p>
    <w:p>
      <w:pPr>
        <w:pStyle w:val="Heading1"/>
      </w:pPr>
      <w:r>
        <w:t>Research portfolio</w:t>
      </w:r>
    </w:p>
    <w:p>
      <w:pPr>
        <w:spacing w:after="20"/>
      </w:pPr>
      <w:r>
        <w:rPr>
          <w:b/>
        </w:rPr>
        <w:t>Research project / grant and institutional reference</w:t>
      </w:r>
    </w:p>
    <w:p>
      <w:pPr>
        <w:spacing w:after="140"/>
      </w:pPr>
      <w:r>
        <w:rPr>
          <w:i/>
          <w:color w:val="7D8791"/>
        </w:rPr>
        <w:t>[Enter details or write “Not applicable” and explain.]</w:t>
      </w:r>
    </w:p>
    <w:p>
      <w:pPr>
        <w:spacing w:after="20"/>
      </w:pPr>
      <w:r>
        <w:rPr>
          <w:b/>
        </w:rPr>
        <w:t>Principal investigator and collaborators</w:t>
      </w:r>
    </w:p>
    <w:p>
      <w:pPr>
        <w:spacing w:after="140"/>
      </w:pPr>
      <w:r>
        <w:rPr>
          <w:i/>
          <w:color w:val="7D8791"/>
        </w:rPr>
        <w:t>[Enter details or write “Not applicable” and explain.]</w:t>
      </w:r>
    </w:p>
    <w:p>
      <w:pPr>
        <w:spacing w:after="20"/>
      </w:pPr>
      <w:r>
        <w:rPr>
          <w:b/>
        </w:rPr>
        <w:t>Current status, milestones, reporting dates, and deliverables</w:t>
      </w:r>
    </w:p>
    <w:p>
      <w:pPr>
        <w:spacing w:after="140"/>
      </w:pPr>
      <w:r>
        <w:rPr>
          <w:i/>
          <w:color w:val="7D8791"/>
        </w:rPr>
        <w:t>[Enter details or write “Not applicable” and explain.]</w:t>
      </w:r>
    </w:p>
    <w:p>
      <w:pPr>
        <w:spacing w:after="20"/>
      </w:pPr>
      <w:r>
        <w:rPr>
          <w:b/>
        </w:rPr>
        <w:t>Ethics approval, protocol, amendment, and renewal status</w:t>
      </w:r>
    </w:p>
    <w:p>
      <w:pPr>
        <w:spacing w:after="140"/>
      </w:pPr>
      <w:r>
        <w:rPr>
          <w:i/>
          <w:color w:val="7D8791"/>
        </w:rPr>
        <w:t>[Enter details or write “Not applicable” and explain.]</w:t>
      </w:r>
    </w:p>
    <w:p>
      <w:pPr>
        <w:pStyle w:val="Heading1"/>
      </w:pPr>
      <w:r>
        <w:t>Data, materials, and outputs</w:t>
      </w:r>
    </w:p>
    <w:p>
      <w:pPr>
        <w:spacing w:after="20"/>
      </w:pPr>
      <w:r>
        <w:rPr>
          <w:b/>
        </w:rPr>
        <w:t>Datasets, lab materials, equipment, and repository location</w:t>
      </w:r>
    </w:p>
    <w:p>
      <w:pPr>
        <w:spacing w:after="140"/>
      </w:pPr>
      <w:r>
        <w:rPr>
          <w:i/>
          <w:color w:val="7D8791"/>
        </w:rPr>
        <w:t>[Enter details or write “Not applicable” and explain.]</w:t>
      </w:r>
    </w:p>
    <w:p>
      <w:pPr>
        <w:spacing w:after="20"/>
      </w:pPr>
      <w:r>
        <w:rPr>
          <w:b/>
        </w:rPr>
        <w:t>Data steward, access restrictions, retention, and consent conditions</w:t>
      </w:r>
    </w:p>
    <w:p>
      <w:pPr>
        <w:spacing w:after="140"/>
      </w:pPr>
      <w:r>
        <w:rPr>
          <w:i/>
          <w:color w:val="7D8791"/>
        </w:rPr>
        <w:t>[Enter details or write “Not applicable” and explain.]</w:t>
      </w:r>
    </w:p>
    <w:p>
      <w:pPr>
        <w:spacing w:after="20"/>
      </w:pPr>
      <w:r>
        <w:rPr>
          <w:b/>
        </w:rPr>
        <w:t>Publications, manuscripts, IP, and pending submissions</w:t>
      </w:r>
    </w:p>
    <w:p>
      <w:pPr>
        <w:spacing w:after="140"/>
      </w:pPr>
      <w:r>
        <w:rPr>
          <w:i/>
          <w:color w:val="7D8791"/>
        </w:rPr>
        <w:t>[Enter details or write “Not applicable” and explain.]</w:t>
      </w:r>
    </w:p>
    <w:p>
      <w:pPr>
        <w:spacing w:after="20"/>
      </w:pPr>
      <w:r>
        <w:rPr>
          <w:b/>
        </w:rPr>
        <w:t>Reproducibility notes and software / methods required</w:t>
      </w:r>
    </w:p>
    <w:p>
      <w:pPr>
        <w:spacing w:after="140"/>
      </w:pPr>
      <w:r>
        <w:rPr>
          <w:i/>
          <w:color w:val="7D8791"/>
        </w:rPr>
        <w:t>[Enter details or write “Not applicable” and explain.]</w:t>
      </w:r>
    </w:p>
    <w:p>
      <w:pPr>
        <w:pStyle w:val="Heading1"/>
      </w:pPr>
      <w:r>
        <w:t>Continuity and compliance</w:t>
      </w:r>
    </w:p>
    <w:p>
      <w:pPr>
        <w:spacing w:after="20"/>
      </w:pPr>
      <w:r>
        <w:rPr>
          <w:b/>
        </w:rPr>
        <w:t>Funding conditions and upcoming reports</w:t>
      </w:r>
    </w:p>
    <w:p>
      <w:pPr>
        <w:spacing w:after="140"/>
      </w:pPr>
      <w:r>
        <w:rPr>
          <w:i/>
          <w:color w:val="7D8791"/>
        </w:rPr>
        <w:t>[Enter details or write “Not applicable” and explain.]</w:t>
      </w:r>
    </w:p>
    <w:p>
      <w:pPr>
        <w:spacing w:after="20"/>
      </w:pPr>
      <w:r>
        <w:rPr>
          <w:b/>
        </w:rPr>
        <w:t>Research participants, samples, or safety considerations</w:t>
      </w:r>
    </w:p>
    <w:p>
      <w:pPr>
        <w:spacing w:after="140"/>
      </w:pPr>
      <w:r>
        <w:rPr>
          <w:i/>
          <w:color w:val="7D8791"/>
        </w:rPr>
        <w:t>[Enter details or write “Not applicable” and explain.]</w:t>
      </w:r>
    </w:p>
    <w:p>
      <w:pPr>
        <w:spacing w:after="20"/>
      </w:pPr>
      <w:r>
        <w:rPr>
          <w:b/>
        </w:rPr>
        <w:t>Required approvals before transfer or access changes</w:t>
      </w:r>
    </w:p>
    <w:p>
      <w:pPr>
        <w:spacing w:after="140"/>
      </w:pPr>
      <w:r>
        <w:rPr>
          <w:i/>
          <w:color w:val="7D8791"/>
        </w:rPr>
        <w:t>[Enter details or write “Not applicable” and explain.]</w:t>
      </w:r>
    </w:p>
    <w:p>
      <w:pPr>
        <w:spacing w:after="20"/>
      </w:pPr>
      <w:r>
        <w:rPr>
          <w:b/>
        </w:rPr>
        <w:t>Named incoming academic / research owner</w:t>
      </w:r>
    </w:p>
    <w:p>
      <w:pPr>
        <w:spacing w:after="140"/>
      </w:pPr>
      <w:r>
        <w:rPr>
          <w:i/>
          <w:color w:val="7D8791"/>
        </w:rPr>
        <w:t>[Enter details or write “Not applicable” and explain.]</w:t>
      </w:r>
    </w:p>
    <w:p>
      <w:pPr>
        <w:pStyle w:val="Heading1"/>
      </w:pPr>
      <w:r>
        <w:t>Handover confirmation</w:t>
      </w:r>
    </w:p>
    <w:p>
      <w:r>
        <w:t>Departing staff member: ______________________________    Date: ______________</w:t>
      </w:r>
    </w:p>
    <w:p>
      <w:r>
        <w:t>Successor / interim owner: _____________________________    Date: ______________</w:t>
      </w:r>
    </w:p>
    <w:p>
      <w:r>
        <w:t>Manager / reviewer: ___________________________________    Date: ______________</w:t>
      </w:r>
    </w:p>
    <w:p>
      <w:r>
        <w:t>Open follow-up after handover: [List items, owners, and due dates, or state “None”.]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CUT-ELAMS  |  Knowledge handover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