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Role Responsibilities Handover</w:t>
      </w:r>
    </w:p>
    <w:p>
      <w:r>
        <w:rPr>
          <w:b/>
        </w:rPr>
        <w:t xml:space="preserve">Purpose  </w:t>
      </w:r>
      <w:r>
        <w:t>Provide the documentation needed to continue the role’s responsibilities and key operating knowledge.</w:t>
      </w:r>
    </w:p>
    <w:p>
      <w:r>
        <w:t>Complete this template before transition. Use links to the approved institutional record locations. Do not include passwords, secret keys, personal data beyond what the successor needs, or unapproved copies of restricted research data.</w:t>
      </w:r>
    </w:p>
    <w:p>
      <w:pPr>
        <w:pStyle w:val="Heading1"/>
      </w:pPr>
      <w:r>
        <w:t>Handover details</w:t>
      </w:r>
    </w:p>
    <w:tbl>
      <w:tblPr>
        <w:tblStyle w:val="LightShading-Accent1"/>
        <w:tblW w:type="auto" w:w="0"/>
        <w:jc w:val="center"/>
        <w:tblLook w:firstColumn="1" w:firstRow="1" w:lastColumn="0" w:lastRow="0" w:noHBand="0" w:noVBand="1" w:val="04A0"/>
      </w:tblPr>
      <w:tblGrid>
        <w:gridCol w:w="5040"/>
        <w:gridCol w:w="5040"/>
      </w:tblGrid>
      <w:tr>
        <w:tc>
          <w:tcPr>
            <w:tcW w:type="dxa" w:w="5040"/>
            <w:shd w:fill="DCE9EF"/>
          </w:tcPr>
          <w:p>
            <w:r>
              <w:t>Departing staff member and role</w:t>
            </w:r>
          </w:p>
        </w:tc>
        <w:tc>
          <w:tcPr>
            <w:tcW w:type="dxa" w:w="5040"/>
          </w:tcPr>
          <w:p>
            <w:r>
              <w:t>[Enter details]</w:t>
            </w:r>
          </w:p>
        </w:tc>
      </w:tr>
      <w:tr>
        <w:tc>
          <w:tcPr>
            <w:tcW w:type="dxa" w:w="5040"/>
            <w:shd w:fill="DCE9EF"/>
          </w:tcPr>
          <w:p>
            <w:r>
              <w:t>Department / unit</w:t>
            </w:r>
          </w:p>
        </w:tc>
        <w:tc>
          <w:tcPr>
            <w:tcW w:type="dxa" w:w="5040"/>
          </w:tcPr>
          <w:p>
            <w:r>
              <w:t>[Enter details]</w:t>
            </w:r>
          </w:p>
        </w:tc>
      </w:tr>
      <w:tr>
        <w:tc>
          <w:tcPr>
            <w:tcW w:type="dxa" w:w="5040"/>
            <w:shd w:fill="DCE9EF"/>
          </w:tcPr>
          <w:p>
            <w:r>
              <w:t>Prepared on / effective handover date</w:t>
            </w:r>
          </w:p>
        </w:tc>
        <w:tc>
          <w:tcPr>
            <w:tcW w:type="dxa" w:w="5040"/>
          </w:tcPr>
          <w:p>
            <w:r>
              <w:t>[Enter details]</w:t>
            </w:r>
          </w:p>
        </w:tc>
      </w:tr>
    </w:tbl>
    <w:p>
      <w:pPr>
        <w:pStyle w:val="Heading1"/>
      </w:pPr>
      <w:r>
        <w:t>Role overview</w:t>
      </w:r>
    </w:p>
    <w:p>
      <w:pPr>
        <w:spacing w:after="20"/>
      </w:pPr>
      <w:r>
        <w:rPr>
          <w:b/>
        </w:rPr>
        <w:t>Role title, department, reporting line</w:t>
      </w:r>
    </w:p>
    <w:p>
      <w:pPr>
        <w:spacing w:after="140"/>
      </w:pPr>
      <w:r>
        <w:rPr>
          <w:i/>
          <w:color w:val="7D8791"/>
        </w:rPr>
        <w:t>[Enter details or write “Not applicable” and explain.]</w:t>
      </w:r>
    </w:p>
    <w:p>
      <w:pPr>
        <w:spacing w:after="20"/>
      </w:pPr>
      <w:r>
        <w:rPr>
          <w:b/>
        </w:rPr>
        <w:t>Main outcomes and services owned</w:t>
      </w:r>
    </w:p>
    <w:p>
      <w:pPr>
        <w:spacing w:after="140"/>
      </w:pPr>
      <w:r>
        <w:rPr>
          <w:i/>
          <w:color w:val="7D8791"/>
        </w:rPr>
        <w:t>[Enter details or write “Not applicable” and explain.]</w:t>
      </w:r>
    </w:p>
    <w:p>
      <w:pPr>
        <w:spacing w:after="20"/>
      </w:pPr>
      <w:r>
        <w:rPr>
          <w:b/>
        </w:rPr>
        <w:t>Key internal and external contacts</w:t>
      </w:r>
    </w:p>
    <w:p>
      <w:pPr>
        <w:spacing w:after="140"/>
      </w:pPr>
      <w:r>
        <w:rPr>
          <w:i/>
          <w:color w:val="7D8791"/>
        </w:rPr>
        <w:t>[Enter details or write “Not applicable” and explain.]</w:t>
      </w:r>
    </w:p>
    <w:p>
      <w:pPr>
        <w:pStyle w:val="Heading1"/>
      </w:pPr>
      <w:r>
        <w:t>Responsibilities and cadence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76B72"/>
          </w:tcPr>
          <w:p>
            <w:r>
              <w:rPr>
                <w:b/>
                <w:color w:val="FFFFFF"/>
              </w:rPr>
              <w:t>Responsibility</w:t>
            </w:r>
          </w:p>
        </w:tc>
        <w:tc>
          <w:tcPr>
            <w:tcW w:type="dxa" w:w="2016"/>
            <w:shd w:fill="176B72"/>
          </w:tcPr>
          <w:p>
            <w:r>
              <w:rPr>
                <w:b/>
                <w:color w:val="FFFFFF"/>
              </w:rPr>
              <w:t>Frequency / trigger</w:t>
            </w:r>
          </w:p>
        </w:tc>
        <w:tc>
          <w:tcPr>
            <w:tcW w:type="dxa" w:w="2016"/>
            <w:shd w:fill="176B72"/>
          </w:tcPr>
          <w:p>
            <w:r>
              <w:rPr>
                <w:b/>
                <w:color w:val="FFFFFF"/>
              </w:rPr>
              <w:t>System or record</w:t>
            </w:r>
          </w:p>
        </w:tc>
        <w:tc>
          <w:tcPr>
            <w:tcW w:type="dxa" w:w="2016"/>
            <w:shd w:fill="176B72"/>
          </w:tcPr>
          <w:p>
            <w:r>
              <w:rPr>
                <w:b/>
                <w:color w:val="FFFFFF"/>
              </w:rPr>
              <w:t>Backup / escalation</w:t>
            </w:r>
          </w:p>
        </w:tc>
        <w:tc>
          <w:tcPr>
            <w:tcW w:type="dxa" w:w="2016"/>
            <w:shd w:fill="176B72"/>
          </w:tcPr>
          <w:p>
            <w:r>
              <w:rPr>
                <w:b/>
                <w:color w:val="FFFFFF"/>
              </w:rPr>
              <w:t>Next due date</w:t>
            </w:r>
          </w:p>
        </w:tc>
      </w:tr>
      <w:tr>
        <w:tc>
          <w:tcPr>
            <w:tcW w:type="dxa" w:w="2016"/>
          </w:tcPr>
          <w:p>
            <w:r>
              <w:t>[Complete]</w:t>
            </w:r>
          </w:p>
        </w:tc>
        <w:tc>
          <w:tcPr>
            <w:tcW w:type="dxa" w:w="2016"/>
          </w:tcPr>
          <w:p>
            <w:r>
              <w:t>[Complete]</w:t>
            </w:r>
          </w:p>
        </w:tc>
        <w:tc>
          <w:tcPr>
            <w:tcW w:type="dxa" w:w="2016"/>
          </w:tcPr>
          <w:p>
            <w:r>
              <w:t>[Complete]</w:t>
            </w:r>
          </w:p>
        </w:tc>
        <w:tc>
          <w:tcPr>
            <w:tcW w:type="dxa" w:w="2016"/>
          </w:tcPr>
          <w:p>
            <w:r>
              <w:t>[Complete]</w:t>
            </w:r>
          </w:p>
        </w:tc>
        <w:tc>
          <w:tcPr>
            <w:tcW w:type="dxa" w:w="2016"/>
          </w:tcPr>
          <w:p>
            <w:r>
              <w:t>[Complete]</w:t>
            </w:r>
          </w:p>
        </w:tc>
      </w:tr>
    </w:tbl>
    <w:p>
      <w:pPr>
        <w:pStyle w:val="Heading1"/>
      </w:pPr>
      <w:r>
        <w:t>How work is performed</w:t>
      </w:r>
    </w:p>
    <w:p>
      <w:pPr>
        <w:spacing w:after="20"/>
      </w:pPr>
      <w:r>
        <w:rPr>
          <w:b/>
        </w:rPr>
        <w:t>Standard workflow and checkpoints</w:t>
      </w:r>
    </w:p>
    <w:p>
      <w:pPr>
        <w:spacing w:after="140"/>
      </w:pPr>
      <w:r>
        <w:rPr>
          <w:i/>
          <w:color w:val="7D8791"/>
        </w:rPr>
        <w:t>[Enter details or write “Not applicable” and explain.]</w:t>
      </w:r>
    </w:p>
    <w:p>
      <w:pPr>
        <w:spacing w:after="20"/>
      </w:pPr>
      <w:r>
        <w:rPr>
          <w:b/>
        </w:rPr>
        <w:t>Systems, forms, templates, and authoritative records</w:t>
      </w:r>
    </w:p>
    <w:p>
      <w:pPr>
        <w:spacing w:after="140"/>
      </w:pPr>
      <w:r>
        <w:rPr>
          <w:i/>
          <w:color w:val="7D8791"/>
        </w:rPr>
        <w:t>[Enter details or write “Not applicable” and explain.]</w:t>
      </w:r>
    </w:p>
    <w:p>
      <w:pPr>
        <w:spacing w:after="20"/>
      </w:pPr>
      <w:r>
        <w:rPr>
          <w:b/>
        </w:rPr>
        <w:t>Common exceptions and approved escalation route</w:t>
      </w:r>
    </w:p>
    <w:p>
      <w:pPr>
        <w:spacing w:after="140"/>
      </w:pPr>
      <w:r>
        <w:rPr>
          <w:i/>
          <w:color w:val="7D8791"/>
        </w:rPr>
        <w:t>[Enter details or write “Not applicable” and explain.]</w:t>
      </w:r>
    </w:p>
    <w:p>
      <w:pPr>
        <w:spacing w:after="20"/>
      </w:pPr>
      <w:r>
        <w:rPr>
          <w:b/>
        </w:rPr>
        <w:t>What must never be bypassed</w:t>
      </w:r>
    </w:p>
    <w:p>
      <w:pPr>
        <w:spacing w:after="140"/>
      </w:pPr>
      <w:r>
        <w:rPr>
          <w:i/>
          <w:color w:val="7D8791"/>
        </w:rPr>
        <w:t>[Enter details or write “Not applicable” and explain.]</w:t>
      </w:r>
    </w:p>
    <w:p>
      <w:pPr>
        <w:pStyle w:val="Heading1"/>
      </w:pPr>
      <w:r>
        <w:t>Knowledge transfer</w:t>
      </w:r>
    </w:p>
    <w:p>
      <w:pPr>
        <w:spacing w:after="20"/>
      </w:pPr>
      <w:r>
        <w:rPr>
          <w:b/>
        </w:rPr>
        <w:t>Work that requires demonstration or shadowing</w:t>
      </w:r>
    </w:p>
    <w:p>
      <w:pPr>
        <w:spacing w:after="140"/>
      </w:pPr>
      <w:r>
        <w:rPr>
          <w:i/>
          <w:color w:val="7D8791"/>
        </w:rPr>
        <w:t>[Enter details or write “Not applicable” and explain.]</w:t>
      </w:r>
    </w:p>
    <w:p>
      <w:pPr>
        <w:spacing w:after="20"/>
      </w:pPr>
      <w:r>
        <w:rPr>
          <w:b/>
        </w:rPr>
        <w:t>Role-specific terminology and institutional context</w:t>
      </w:r>
    </w:p>
    <w:p>
      <w:pPr>
        <w:spacing w:after="140"/>
      </w:pPr>
      <w:r>
        <w:rPr>
          <w:i/>
          <w:color w:val="7D8791"/>
        </w:rPr>
        <w:t>[Enter details or write “Not applicable” and explain.]</w:t>
      </w:r>
    </w:p>
    <w:p>
      <w:pPr>
        <w:spacing w:after="20"/>
      </w:pPr>
      <w:r>
        <w:rPr>
          <w:b/>
        </w:rPr>
        <w:t>Known risks, lessons learned, and improvement opportunities</w:t>
      </w:r>
    </w:p>
    <w:p>
      <w:pPr>
        <w:spacing w:after="140"/>
      </w:pPr>
      <w:r>
        <w:rPr>
          <w:i/>
          <w:color w:val="7D8791"/>
        </w:rPr>
        <w:t>[Enter details or write “Not applicable” and explain.]</w:t>
      </w:r>
    </w:p>
    <w:p>
      <w:pPr>
        <w:pStyle w:val="Heading1"/>
      </w:pPr>
      <w:r>
        <w:t>Acceptance</w:t>
      </w:r>
    </w:p>
    <w:p>
      <w:pPr>
        <w:spacing w:after="20"/>
      </w:pPr>
      <w:r>
        <w:rPr>
          <w:b/>
        </w:rPr>
        <w:t>Successor / interim owner</w:t>
      </w:r>
    </w:p>
    <w:p>
      <w:pPr>
        <w:spacing w:after="140"/>
      </w:pPr>
      <w:r>
        <w:rPr>
          <w:i/>
          <w:color w:val="7D8791"/>
        </w:rPr>
        <w:t>[Enter details or write “Not applicable” and explain.]</w:t>
      </w:r>
    </w:p>
    <w:p>
      <w:pPr>
        <w:spacing w:after="20"/>
      </w:pPr>
      <w:r>
        <w:rPr>
          <w:b/>
        </w:rPr>
        <w:t>Access requested through IT and manager approval</w:t>
      </w:r>
    </w:p>
    <w:p>
      <w:pPr>
        <w:spacing w:after="140"/>
      </w:pPr>
      <w:r>
        <w:rPr>
          <w:i/>
          <w:color w:val="7D8791"/>
        </w:rPr>
        <w:t>[Enter details or write “Not applicable” and explain.]</w:t>
      </w:r>
    </w:p>
    <w:p>
      <w:pPr>
        <w:spacing w:after="20"/>
      </w:pPr>
      <w:r>
        <w:rPr>
          <w:b/>
        </w:rPr>
        <w:t>Training completed and open questions</w:t>
      </w:r>
    </w:p>
    <w:p>
      <w:pPr>
        <w:spacing w:after="140"/>
      </w:pPr>
      <w:r>
        <w:rPr>
          <w:i/>
          <w:color w:val="7D8791"/>
        </w:rPr>
        <w:t>[Enter details or write “Not applicable” and explain.]</w:t>
      </w:r>
    </w:p>
    <w:p>
      <w:pPr>
        <w:spacing w:after="20"/>
      </w:pPr>
      <w:r>
        <w:rPr>
          <w:b/>
        </w:rPr>
        <w:t>Manager and successor acknowledgement</w:t>
      </w:r>
    </w:p>
    <w:p>
      <w:pPr>
        <w:spacing w:after="140"/>
      </w:pPr>
      <w:r>
        <w:rPr>
          <w:i/>
          <w:color w:val="7D8791"/>
        </w:rPr>
        <w:t>[Enter details or write “Not applicable” and explain.]</w:t>
      </w:r>
    </w:p>
    <w:p>
      <w:pPr>
        <w:pStyle w:val="Heading1"/>
      </w:pPr>
      <w:r>
        <w:t>Handover confirmation</w:t>
      </w:r>
    </w:p>
    <w:p>
      <w:r>
        <w:t>Departing staff member: ______________________________    Date: ______________</w:t>
      </w:r>
    </w:p>
    <w:p>
      <w:r>
        <w:t>Successor / interim owner: _____________________________    Date: ______________</w:t>
      </w:r>
    </w:p>
    <w:p>
      <w:r>
        <w:t>Manager / reviewer: ___________________________________    Date: ______________</w:t>
      </w:r>
    </w:p>
    <w:p>
      <w:r>
        <w:t>Open follow-up after handover: [List items, owners, and due dates, or state “None”.]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CUT-ELAMS  |  Knowledge handover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