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Operations Documentation Handover</w:t>
      </w:r>
    </w:p>
    <w:p>
      <w:r>
        <w:rPr>
          <w:b/>
        </w:rPr>
        <w:t xml:space="preserve">Purpose  </w:t>
      </w:r>
      <w:r>
        <w:t>Provide the system documentation needed to support day-to-day operations after departure.</w:t>
      </w:r>
    </w:p>
    <w:p>
      <w:r>
        <w:t>Complete this template before transition. Use links to the approved institutional record locations. Do not include passwords, secret keys, personal data beyond what the successor needs, or unapproved copies of restricted research data.</w:t>
      </w:r>
    </w:p>
    <w:p>
      <w:pPr>
        <w:pStyle w:val="Heading1"/>
      </w:pPr>
      <w:r>
        <w:t>Handover details</w:t>
      </w:r>
    </w:p>
    <w:tbl>
      <w:tblPr>
        <w:tblStyle w:val="LightShading-Accent1"/>
        <w:tblW w:type="auto" w:w="0"/>
        <w:jc w:val="center"/>
        <w:tblLook w:firstColumn="1" w:firstRow="1" w:lastColumn="0" w:lastRow="0" w:noHBand="0" w:noVBand="1" w:val="04A0"/>
      </w:tblPr>
      <w:tblGrid>
        <w:gridCol w:w="5040"/>
        <w:gridCol w:w="5040"/>
      </w:tblGrid>
      <w:tr>
        <w:tc>
          <w:tcPr>
            <w:tcW w:type="dxa" w:w="5040"/>
            <w:shd w:fill="DCE9EF"/>
          </w:tcPr>
          <w:p>
            <w:r>
              <w:t>Departing staff member and role</w:t>
            </w:r>
          </w:p>
        </w:tc>
        <w:tc>
          <w:tcPr>
            <w:tcW w:type="dxa" w:w="5040"/>
          </w:tcPr>
          <w:p>
            <w:r>
              <w:t>[Enter details]</w:t>
            </w:r>
          </w:p>
        </w:tc>
      </w:tr>
      <w:tr>
        <w:tc>
          <w:tcPr>
            <w:tcW w:type="dxa" w:w="5040"/>
            <w:shd w:fill="DCE9EF"/>
          </w:tcPr>
          <w:p>
            <w:r>
              <w:t>Department / unit</w:t>
            </w:r>
          </w:p>
        </w:tc>
        <w:tc>
          <w:tcPr>
            <w:tcW w:type="dxa" w:w="5040"/>
          </w:tcPr>
          <w:p>
            <w:r>
              <w:t>[Enter details]</w:t>
            </w:r>
          </w:p>
        </w:tc>
      </w:tr>
      <w:tr>
        <w:tc>
          <w:tcPr>
            <w:tcW w:type="dxa" w:w="5040"/>
            <w:shd w:fill="DCE9EF"/>
          </w:tcPr>
          <w:p>
            <w:r>
              <w:t>Prepared on / effective handover date</w:t>
            </w:r>
          </w:p>
        </w:tc>
        <w:tc>
          <w:tcPr>
            <w:tcW w:type="dxa" w:w="5040"/>
          </w:tcPr>
          <w:p>
            <w:r>
              <w:t>[Enter details]</w:t>
            </w:r>
          </w:p>
        </w:tc>
      </w:tr>
    </w:tbl>
    <w:p>
      <w:pPr>
        <w:pStyle w:val="Heading1"/>
      </w:pPr>
      <w:r>
        <w:t>System inventory</w:t>
      </w:r>
    </w:p>
    <w:p>
      <w:pPr>
        <w:spacing w:after="20"/>
      </w:pPr>
      <w:r>
        <w:rPr>
          <w:b/>
        </w:rPr>
        <w:t>System / service name and business purpose</w:t>
      </w:r>
    </w:p>
    <w:p>
      <w:pPr>
        <w:spacing w:after="140"/>
      </w:pPr>
      <w:r>
        <w:rPr>
          <w:i/>
          <w:color w:val="7D8791"/>
        </w:rPr>
        <w:t>[Enter details or write “Not applicable” and explain.]</w:t>
      </w:r>
    </w:p>
    <w:p>
      <w:pPr>
        <w:spacing w:after="20"/>
      </w:pPr>
      <w:r>
        <w:rPr>
          <w:b/>
        </w:rPr>
        <w:t>Environment (production / test / development)</w:t>
      </w:r>
    </w:p>
    <w:p>
      <w:pPr>
        <w:spacing w:after="140"/>
      </w:pPr>
      <w:r>
        <w:rPr>
          <w:i/>
          <w:color w:val="7D8791"/>
        </w:rPr>
        <w:t>[Enter details or write “Not applicable” and explain.]</w:t>
      </w:r>
    </w:p>
    <w:p>
      <w:pPr>
        <w:spacing w:after="20"/>
      </w:pPr>
      <w:r>
        <w:rPr>
          <w:b/>
        </w:rPr>
        <w:t>Business owner, technical owner, vendor, support route</w:t>
      </w:r>
    </w:p>
    <w:p>
      <w:pPr>
        <w:spacing w:after="140"/>
      </w:pPr>
      <w:r>
        <w:rPr>
          <w:i/>
          <w:color w:val="7D8791"/>
        </w:rPr>
        <w:t>[Enter details or write “Not applicable” and explain.]</w:t>
      </w:r>
    </w:p>
    <w:p>
      <w:pPr>
        <w:spacing w:after="20"/>
      </w:pPr>
      <w:r>
        <w:rPr>
          <w:b/>
        </w:rPr>
        <w:t>Criticality and service hours</w:t>
      </w:r>
    </w:p>
    <w:p>
      <w:pPr>
        <w:spacing w:after="140"/>
      </w:pPr>
      <w:r>
        <w:rPr>
          <w:i/>
          <w:color w:val="7D8791"/>
        </w:rPr>
        <w:t>[Enter details or write “Not applicable” and explain.]</w:t>
      </w:r>
    </w:p>
    <w:p>
      <w:pPr>
        <w:pStyle w:val="Heading1"/>
      </w:pPr>
      <w:r>
        <w:t>Operational use</w:t>
      </w:r>
    </w:p>
    <w:p>
      <w:pPr>
        <w:spacing w:after="20"/>
      </w:pPr>
      <w:r>
        <w:rPr>
          <w:b/>
        </w:rPr>
        <w:t>Normal daily / weekly checks</w:t>
      </w:r>
    </w:p>
    <w:p>
      <w:pPr>
        <w:spacing w:after="140"/>
      </w:pPr>
      <w:r>
        <w:rPr>
          <w:i/>
          <w:color w:val="7D8791"/>
        </w:rPr>
        <w:t>[Enter details or write “Not applicable” and explain.]</w:t>
      </w:r>
    </w:p>
    <w:p>
      <w:pPr>
        <w:spacing w:after="20"/>
      </w:pPr>
      <w:r>
        <w:rPr>
          <w:b/>
        </w:rPr>
        <w:t>Routine user support and approved troubleshooting</w:t>
      </w:r>
    </w:p>
    <w:p>
      <w:pPr>
        <w:spacing w:after="140"/>
      </w:pPr>
      <w:r>
        <w:rPr>
          <w:i/>
          <w:color w:val="7D8791"/>
        </w:rPr>
        <w:t>[Enter details or write “Not applicable” and explain.]</w:t>
      </w:r>
    </w:p>
    <w:p>
      <w:pPr>
        <w:spacing w:after="20"/>
      </w:pPr>
      <w:r>
        <w:rPr>
          <w:b/>
        </w:rPr>
        <w:t>Known errors and safe recovery actions</w:t>
      </w:r>
    </w:p>
    <w:p>
      <w:pPr>
        <w:spacing w:after="140"/>
      </w:pPr>
      <w:r>
        <w:rPr>
          <w:i/>
          <w:color w:val="7D8791"/>
        </w:rPr>
        <w:t>[Enter details or write “Not applicable” and explain.]</w:t>
      </w:r>
    </w:p>
    <w:p>
      <w:pPr>
        <w:spacing w:after="20"/>
      </w:pPr>
      <w:r>
        <w:rPr>
          <w:b/>
        </w:rPr>
        <w:t>Backup, restore, retention, and continuity references</w:t>
      </w:r>
    </w:p>
    <w:p>
      <w:pPr>
        <w:spacing w:after="140"/>
      </w:pPr>
      <w:r>
        <w:rPr>
          <w:i/>
          <w:color w:val="7D8791"/>
        </w:rPr>
        <w:t>[Enter details or write “Not applicable” and explain.]</w:t>
      </w:r>
    </w:p>
    <w:p>
      <w:pPr>
        <w:pStyle w:val="Heading1"/>
      </w:pPr>
      <w:r>
        <w:t>Access and change controls</w:t>
      </w:r>
    </w:p>
    <w:p>
      <w:pPr>
        <w:spacing w:after="20"/>
      </w:pPr>
      <w:r>
        <w:rPr>
          <w:b/>
        </w:rPr>
        <w:t>Identity / access request process and approver</w:t>
      </w:r>
    </w:p>
    <w:p>
      <w:pPr>
        <w:spacing w:after="140"/>
      </w:pPr>
      <w:r>
        <w:rPr>
          <w:i/>
          <w:color w:val="7D8791"/>
        </w:rPr>
        <w:t>[Enter details or write “Not applicable” and explain.]</w:t>
      </w:r>
    </w:p>
    <w:p>
      <w:pPr>
        <w:spacing w:after="20"/>
      </w:pPr>
      <w:r>
        <w:rPr>
          <w:b/>
        </w:rPr>
        <w:t>Roles and least-privilege groups to request</w:t>
      </w:r>
    </w:p>
    <w:p>
      <w:pPr>
        <w:spacing w:after="140"/>
      </w:pPr>
      <w:r>
        <w:rPr>
          <w:i/>
          <w:color w:val="7D8791"/>
        </w:rPr>
        <w:t>[Enter details or write “Not applicable” and explain.]</w:t>
      </w:r>
    </w:p>
    <w:p>
      <w:pPr>
        <w:spacing w:after="20"/>
      </w:pPr>
      <w:r>
        <w:rPr>
          <w:b/>
        </w:rPr>
        <w:t>Change, release, and incident processes</w:t>
      </w:r>
    </w:p>
    <w:p>
      <w:pPr>
        <w:spacing w:after="140"/>
      </w:pPr>
      <w:r>
        <w:rPr>
          <w:i/>
          <w:color w:val="7D8791"/>
        </w:rPr>
        <w:t>[Enter details or write “Not applicable” and explain.]</w:t>
      </w:r>
    </w:p>
    <w:p>
      <w:pPr>
        <w:spacing w:after="20"/>
      </w:pPr>
      <w:r>
        <w:rPr>
          <w:b/>
        </w:rPr>
        <w:t>Secrets are not to be written in this document; use the approved vault and transfer process</w:t>
      </w:r>
    </w:p>
    <w:p>
      <w:pPr>
        <w:spacing w:after="140"/>
      </w:pPr>
      <w:r>
        <w:rPr>
          <w:i/>
          <w:color w:val="7D8791"/>
        </w:rPr>
        <w:t>[Enter details or write “Not applicable” and explain.]</w:t>
      </w:r>
    </w:p>
    <w:p>
      <w:pPr>
        <w:pStyle w:val="Heading1"/>
      </w:pPr>
      <w:r>
        <w:t>References and recovery</w:t>
      </w:r>
    </w:p>
    <w:p>
      <w:pPr>
        <w:spacing w:after="20"/>
      </w:pPr>
      <w:r>
        <w:rPr>
          <w:b/>
        </w:rPr>
        <w:t>User guides, architecture, runbooks, monitoring, and vendor documentation locations</w:t>
      </w:r>
    </w:p>
    <w:p>
      <w:pPr>
        <w:spacing w:after="140"/>
      </w:pPr>
      <w:r>
        <w:rPr>
          <w:i/>
          <w:color w:val="7D8791"/>
        </w:rPr>
        <w:t>[Enter details or write “Not applicable” and explain.]</w:t>
      </w:r>
    </w:p>
    <w:p>
      <w:pPr>
        <w:spacing w:after="20"/>
      </w:pPr>
      <w:r>
        <w:rPr>
          <w:b/>
        </w:rPr>
        <w:t>Escalation contacts and support hours</w:t>
      </w:r>
    </w:p>
    <w:p>
      <w:pPr>
        <w:spacing w:after="140"/>
      </w:pPr>
      <w:r>
        <w:rPr>
          <w:i/>
          <w:color w:val="7D8791"/>
        </w:rPr>
        <w:t>[Enter details or write “Not applicable” and explain.]</w:t>
      </w:r>
    </w:p>
    <w:p>
      <w:pPr>
        <w:spacing w:after="20"/>
      </w:pPr>
      <w:r>
        <w:rPr>
          <w:b/>
        </w:rPr>
        <w:t>Recovery owner, dependencies, and last verified recovery evidence</w:t>
      </w:r>
    </w:p>
    <w:p>
      <w:pPr>
        <w:spacing w:after="140"/>
      </w:pPr>
      <w:r>
        <w:rPr>
          <w:i/>
          <w:color w:val="7D8791"/>
        </w:rPr>
        <w:t>[Enter details or write “Not applicable” and explain.]</w:t>
      </w:r>
    </w:p>
    <w:p>
      <w:pPr>
        <w:pStyle w:val="Heading1"/>
      </w:pPr>
      <w:r>
        <w:t>Handover confirmation</w:t>
      </w:r>
    </w:p>
    <w:p>
      <w:r>
        <w:t>Departing staff member: ______________________________    Date: ______________</w:t>
      </w:r>
    </w:p>
    <w:p>
      <w:r>
        <w:t>Successor / interim owner: _____________________________    Date: ______________</w:t>
      </w:r>
    </w:p>
    <w:p>
      <w:r>
        <w:t>Manager / reviewer: ___________________________________    Date: ______________</w:t>
      </w:r>
    </w:p>
    <w:p>
      <w:r>
        <w:t>Open follow-up after handover: [List items, owners, and due dates, or state “None”.]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CUT-ELAMS  |  Knowledge handover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