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Systems Handover</w:t>
      </w:r>
    </w:p>
    <w:p>
      <w:r>
        <w:rPr>
          <w:b/>
        </w:rPr>
        <w:t xml:space="preserve">Purpose  </w:t>
      </w:r>
      <w:r>
        <w:t>Transfer technical documentation, logs, runbooks, and configuration knowledge for critical systems.</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Technical scope</w:t>
      </w:r>
    </w:p>
    <w:p>
      <w:pPr>
        <w:spacing w:after="20"/>
      </w:pPr>
      <w:r>
        <w:rPr>
          <w:b/>
        </w:rPr>
        <w:t>Service / component and environment</w:t>
      </w:r>
    </w:p>
    <w:p>
      <w:pPr>
        <w:spacing w:after="140"/>
      </w:pPr>
      <w:r>
        <w:rPr>
          <w:i/>
          <w:color w:val="7D8791"/>
        </w:rPr>
        <w:t>[Enter details or write “Not applicable” and explain.]</w:t>
      </w:r>
    </w:p>
    <w:p>
      <w:pPr>
        <w:spacing w:after="20"/>
      </w:pPr>
      <w:r>
        <w:rPr>
          <w:b/>
        </w:rPr>
        <w:t>Architecture and dependency summary</w:t>
      </w:r>
    </w:p>
    <w:p>
      <w:pPr>
        <w:spacing w:after="140"/>
      </w:pPr>
      <w:r>
        <w:rPr>
          <w:i/>
          <w:color w:val="7D8791"/>
        </w:rPr>
        <w:t>[Enter details or write “Not applicable” and explain.]</w:t>
      </w:r>
    </w:p>
    <w:p>
      <w:pPr>
        <w:spacing w:after="20"/>
      </w:pPr>
      <w:r>
        <w:rPr>
          <w:b/>
        </w:rPr>
        <w:t>Repository, infrastructure, and deployment record locations</w:t>
      </w:r>
    </w:p>
    <w:p>
      <w:pPr>
        <w:spacing w:after="140"/>
      </w:pPr>
      <w:r>
        <w:rPr>
          <w:i/>
          <w:color w:val="7D8791"/>
        </w:rPr>
        <w:t>[Enter details or write “Not applicable” and explain.]</w:t>
      </w:r>
    </w:p>
    <w:p>
      <w:pPr>
        <w:spacing w:after="20"/>
      </w:pPr>
      <w:r>
        <w:rPr>
          <w:b/>
        </w:rPr>
        <w:t>Technical owner and support escalation</w:t>
      </w:r>
    </w:p>
    <w:p>
      <w:pPr>
        <w:spacing w:after="140"/>
      </w:pPr>
      <w:r>
        <w:rPr>
          <w:i/>
          <w:color w:val="7D8791"/>
        </w:rPr>
        <w:t>[Enter details or write “Not applicable” and explain.]</w:t>
      </w:r>
    </w:p>
    <w:p>
      <w:pPr>
        <w:pStyle w:val="Heading1"/>
      </w:pPr>
      <w:r>
        <w:t>Runbooks and operations</w:t>
      </w:r>
    </w:p>
    <w:p>
      <w:pPr>
        <w:spacing w:after="20"/>
      </w:pPr>
      <w:r>
        <w:rPr>
          <w:b/>
        </w:rPr>
        <w:t>Health checks and expected signals</w:t>
      </w:r>
    </w:p>
    <w:p>
      <w:pPr>
        <w:spacing w:after="140"/>
      </w:pPr>
      <w:r>
        <w:rPr>
          <w:i/>
          <w:color w:val="7D8791"/>
        </w:rPr>
        <w:t>[Enter details or write “Not applicable” and explain.]</w:t>
      </w:r>
    </w:p>
    <w:p>
      <w:pPr>
        <w:spacing w:after="20"/>
      </w:pPr>
      <w:r>
        <w:rPr>
          <w:b/>
        </w:rPr>
        <w:t>Deploy / rollback process and approval</w:t>
      </w:r>
    </w:p>
    <w:p>
      <w:pPr>
        <w:spacing w:after="140"/>
      </w:pPr>
      <w:r>
        <w:rPr>
          <w:i/>
          <w:color w:val="7D8791"/>
        </w:rPr>
        <w:t>[Enter details or write “Not applicable” and explain.]</w:t>
      </w:r>
    </w:p>
    <w:p>
      <w:pPr>
        <w:spacing w:after="20"/>
      </w:pPr>
      <w:r>
        <w:rPr>
          <w:b/>
        </w:rPr>
        <w:t>Incident diagnosis steps and severity route</w:t>
      </w:r>
    </w:p>
    <w:p>
      <w:pPr>
        <w:spacing w:after="140"/>
      </w:pPr>
      <w:r>
        <w:rPr>
          <w:i/>
          <w:color w:val="7D8791"/>
        </w:rPr>
        <w:t>[Enter details or write “Not applicable” and explain.]</w:t>
      </w:r>
    </w:p>
    <w:p>
      <w:pPr>
        <w:spacing w:after="20"/>
      </w:pPr>
      <w:r>
        <w:rPr>
          <w:b/>
        </w:rPr>
        <w:t>Backup / restore procedure and evidence location</w:t>
      </w:r>
    </w:p>
    <w:p>
      <w:pPr>
        <w:spacing w:after="140"/>
      </w:pPr>
      <w:r>
        <w:rPr>
          <w:i/>
          <w:color w:val="7D8791"/>
        </w:rPr>
        <w:t>[Enter details or write “Not applicable” and explain.]</w:t>
      </w:r>
    </w:p>
    <w:p>
      <w:pPr>
        <w:spacing w:after="20"/>
      </w:pPr>
      <w:r>
        <w:rPr>
          <w:b/>
        </w:rPr>
        <w:t>Known failure modes and tested recovery steps</w:t>
      </w:r>
    </w:p>
    <w:p>
      <w:pPr>
        <w:spacing w:after="140"/>
      </w:pPr>
      <w:r>
        <w:rPr>
          <w:i/>
          <w:color w:val="7D8791"/>
        </w:rPr>
        <w:t>[Enter details or write “Not applicable” and explain.]</w:t>
      </w:r>
    </w:p>
    <w:p>
      <w:pPr>
        <w:pStyle w:val="Heading1"/>
      </w:pPr>
      <w:r>
        <w:t>Configuration and security</w:t>
      </w:r>
    </w:p>
    <w:p>
      <w:pPr>
        <w:spacing w:after="20"/>
      </w:pPr>
      <w:r>
        <w:rPr>
          <w:b/>
        </w:rPr>
        <w:t>Configuration keys by name only; never include secret values</w:t>
      </w:r>
    </w:p>
    <w:p>
      <w:pPr>
        <w:spacing w:after="140"/>
      </w:pPr>
      <w:r>
        <w:rPr>
          <w:i/>
          <w:color w:val="7D8791"/>
        </w:rPr>
        <w:t>[Enter details or write “Not applicable” and explain.]</w:t>
      </w:r>
    </w:p>
    <w:p>
      <w:pPr>
        <w:spacing w:after="20"/>
      </w:pPr>
      <w:r>
        <w:rPr>
          <w:b/>
        </w:rPr>
        <w:t>Approved secret manager / vault path and custodian</w:t>
      </w:r>
    </w:p>
    <w:p>
      <w:pPr>
        <w:spacing w:after="140"/>
      </w:pPr>
      <w:r>
        <w:rPr>
          <w:i/>
          <w:color w:val="7D8791"/>
        </w:rPr>
        <w:t>[Enter details or write “Not applicable” and explain.]</w:t>
      </w:r>
    </w:p>
    <w:p>
      <w:pPr>
        <w:spacing w:after="20"/>
      </w:pPr>
      <w:r>
        <w:rPr>
          <w:b/>
        </w:rPr>
        <w:t>Network, identity, certificate, and access renewal arrangements</w:t>
      </w:r>
    </w:p>
    <w:p>
      <w:pPr>
        <w:spacing w:after="140"/>
      </w:pPr>
      <w:r>
        <w:rPr>
          <w:i/>
          <w:color w:val="7D8791"/>
        </w:rPr>
        <w:t>[Enter details or write “Not applicable” and explain.]</w:t>
      </w:r>
    </w:p>
    <w:p>
      <w:pPr>
        <w:spacing w:after="20"/>
      </w:pPr>
      <w:r>
        <w:rPr>
          <w:b/>
        </w:rPr>
        <w:t>Logging, monitoring, alert routing, and retention</w:t>
      </w:r>
    </w:p>
    <w:p>
      <w:pPr>
        <w:spacing w:after="140"/>
      </w:pPr>
      <w:r>
        <w:rPr>
          <w:i/>
          <w:color w:val="7D8791"/>
        </w:rPr>
        <w:t>[Enter details or write “Not applicable” and explain.]</w:t>
      </w:r>
    </w:p>
    <w:p>
      <w:pPr>
        <w:pStyle w:val="Heading1"/>
      </w:pPr>
      <w:r>
        <w:t>Transition verification</w:t>
      </w:r>
    </w:p>
    <w:p>
      <w:pPr>
        <w:spacing w:after="20"/>
      </w:pPr>
      <w:r>
        <w:rPr>
          <w:b/>
        </w:rPr>
        <w:t>Code and infrastructure changes in progress</w:t>
      </w:r>
    </w:p>
    <w:p>
      <w:pPr>
        <w:spacing w:after="140"/>
      </w:pPr>
      <w:r>
        <w:rPr>
          <w:i/>
          <w:color w:val="7D8791"/>
        </w:rPr>
        <w:t>[Enter details or write “Not applicable” and explain.]</w:t>
      </w:r>
    </w:p>
    <w:p>
      <w:pPr>
        <w:spacing w:after="20"/>
      </w:pPr>
      <w:r>
        <w:rPr>
          <w:b/>
        </w:rPr>
        <w:t>Outstanding vulnerabilities, incidents, and technical debt</w:t>
      </w:r>
    </w:p>
    <w:p>
      <w:pPr>
        <w:spacing w:after="140"/>
      </w:pPr>
      <w:r>
        <w:rPr>
          <w:i/>
          <w:color w:val="7D8791"/>
        </w:rPr>
        <w:t>[Enter details or write “Not applicable” and explain.]</w:t>
      </w:r>
    </w:p>
    <w:p>
      <w:pPr>
        <w:spacing w:after="20"/>
      </w:pPr>
      <w:r>
        <w:rPr>
          <w:b/>
        </w:rPr>
        <w:t>Access transferred by authorized administrators</w:t>
      </w:r>
    </w:p>
    <w:p>
      <w:pPr>
        <w:spacing w:after="140"/>
      </w:pPr>
      <w:r>
        <w:rPr>
          <w:i/>
          <w:color w:val="7D8791"/>
        </w:rPr>
        <w:t>[Enter details or write “Not applicable” and explain.]</w:t>
      </w:r>
    </w:p>
    <w:p>
      <w:pPr>
        <w:spacing w:after="20"/>
      </w:pPr>
      <w:r>
        <w:rPr>
          <w:b/>
        </w:rPr>
        <w:t>Successor has run through recovery or deployment procedure</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