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PRAISE OKAEGBU-WALI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AI Product Designer &amp; Creative Director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Lagos, Nigeria (Remote)   </w:t>
      </w: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praisehenry52@gmail.com   </w:t>
      </w: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+234 813 237 6952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LinkedIn: linkedin.com/in/[your-handle]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•  Portfolio: [your-portfolio-url]</w:t>
      </w:r>
    </w:p>
    <w:p>
      <w:pPr>
        <w:pBdr>
          <w:bottom w:val="single" w:color="BFBFBF" w:sz="4"/>
        </w:pBdr>
        <w:spacing w:after="160" w:before="60"/>
      </w:pPr>
    </w:p>
    <w:p>
      <w:pPr>
        <w:pBdr>
          <w:bottom w:val="single" w:color="1F2A44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AI-focused Product Designer and Creative Director with 3+ years of experience leading end-to-end UX for web and AI-guided digital products. Specializes in translating discovery research into design systems, prototypes, and developer-ready documentation using AI-assisted workflows (NotebookLM, Claude, Figma Make). Combines hands-on research, interaction design, and cross-functional leadership to reduce rework, protect data integrity, and ship products that hold up to quality and evaluation standards across design, engineering, and QA.</w:t>
      </w:r>
    </w:p>
    <w:p>
      <w:pPr>
        <w:pBdr>
          <w:bottom w:val="single" w:color="1F2A44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PROFESSIONAL 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Product Designer &amp; Creative Director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  |  Bluevineyard</w:t>
      </w:r>
    </w:p>
    <w:p>
      <w:pPr>
        <w:tabs>
          <w:tab w:val="right" w:pos="10152"/>
        </w:tabs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Remote, Australia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2024 –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Produced persona and journey-mapping research (13 personas) underpinning an AI-guided product's design, development, and evaluation frameworks — establishing the reference standard that design, engineering, and QA now build and test against.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Built an AI-assisted UX workflow for a CRM replacement project: synthesized discovery-call recordings and PM research via NotebookLM, validated findings and structured prompts via Claude, then translated directly into Figma Make prototypes and a Miro documentation kit — reducing design rework and cutting research-to-handoff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design QA and validation across 20+ projects, reducing post-launch issues by 15%; caught 5 critical defects in a final pre-launch review — after PM sign-off — that would otherwise have shipped a visible quality downgrade.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Produced detailed UI specifications (states, edge cases, breakpoints, interaction logic), reducing sprint clarification cycles by 25%.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Partnered with stakeholders and clients to define product requirements, cutting requirement-related revisions by 20%.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Identified upstream data-dependency risks in form design — e.g. separating system-generated classifications from user-applied tags — preventing data-pollution issues surfaced in stakeholder research.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20+ design projects end-to-end, producing user flows, information architecture, and sitemaps that gave developers and UI designers a clear execution blueprint.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Marketing Manager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  |  Xown Solutions Limited</w:t>
      </w:r>
    </w:p>
    <w:p>
      <w:pPr>
        <w:tabs>
          <w:tab w:val="right" w:pos="10152"/>
        </w:tabs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Lagos, Nigeria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2022 – Jul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Spearheaded digital media campaigns, increasing brand awareness by 30% and driving 15% growth in customer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Improved website conversion rates by 25% through SEO, A/B testing, and content optimization, increasing lead capture and reducing bounce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email marketing initiatives, achieving a 40% increase in open rates and a 15% conversion rate through targeted segmentation and personalized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Collaborated with design, development, and sales teams to align messaging with business goals.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Social Media Manager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  |  Godangold</w:t>
      </w:r>
    </w:p>
    <w:p>
      <w:pPr>
        <w:tabs>
          <w:tab w:val="right" w:pos="10152"/>
        </w:tabs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Port Harcourt, Nigeria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2020 – Mar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social media content creation and strategy, resulting in a 50% increase in customer engagement and brand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Analyzed social performance metrics and implemented data-driven adjustments, improving campaign effectiveness by 20%.</w:t>
      </w:r>
    </w:p>
    <w:p>
      <w:pPr>
        <w:pBdr>
          <w:bottom w:val="single" w:color="1F2A44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Design Workflows: </w:t>
      </w:r>
      <w:r>
        <w:rPr>
          <w:rFonts w:ascii="Calibri" w:cs="Calibri" w:eastAsia="Calibri" w:hAnsi="Calibri"/>
          <w:sz w:val="21"/>
          <w:szCs w:val="21"/>
        </w:rPr>
        <w:t xml:space="preserve">NotebookLM, Claude, Figma Make, prompt structuring for prototyping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UX Design &amp; Research: </w:t>
      </w:r>
      <w:r>
        <w:rPr>
          <w:rFonts w:ascii="Calibri" w:cs="Calibri" w:eastAsia="Calibri" w:hAnsi="Calibri"/>
          <w:sz w:val="21"/>
          <w:szCs w:val="21"/>
        </w:rPr>
        <w:t xml:space="preserve">User-centered research, wireframing, prototyping — Figma, Adobe Suite, FigJam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Information Architecture: </w:t>
      </w:r>
      <w:r>
        <w:rPr>
          <w:rFonts w:ascii="Calibri" w:cs="Calibri" w:eastAsia="Calibri" w:hAnsi="Calibri"/>
          <w:sz w:val="21"/>
          <w:szCs w:val="21"/>
        </w:rPr>
        <w:t xml:space="preserve">Sitemaps, journey maps, user flows, process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Documentation: </w:t>
      </w:r>
      <w:r>
        <w:rPr>
          <w:rFonts w:ascii="Calibri" w:cs="Calibri" w:eastAsia="Calibri" w:hAnsi="Calibri"/>
          <w:sz w:val="21"/>
          <w:szCs w:val="21"/>
        </w:rPr>
        <w:t xml:space="preserve">Design specs, UI specifications, creative briefs, UX kits (Miro, Google Workspace, Microsoft Office)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&amp; Data Thinking: </w:t>
      </w:r>
      <w:r>
        <w:rPr>
          <w:rFonts w:ascii="Calibri" w:cs="Calibri" w:eastAsia="Calibri" w:hAnsi="Calibri"/>
          <w:sz w:val="21"/>
          <w:szCs w:val="21"/>
        </w:rPr>
        <w:t xml:space="preserve">End-to-end product lifecycle, data-dependency and integrity analysis in form/UI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Quality Assurance: </w:t>
      </w:r>
      <w:r>
        <w:rPr>
          <w:rFonts w:ascii="Calibri" w:cs="Calibri" w:eastAsia="Calibri" w:hAnsi="Calibri"/>
          <w:sz w:val="21"/>
          <w:szCs w:val="21"/>
        </w:rPr>
        <w:t xml:space="preserve">Functional QA, visual regression testing, cross-browser compatibility, WCAG 2.1 accessibility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&amp; Stakeholder Management: </w:t>
      </w:r>
      <w:r>
        <w:rPr>
          <w:rFonts w:ascii="Calibri" w:cs="Calibri" w:eastAsia="Calibri" w:hAnsi="Calibri"/>
          <w:sz w:val="21"/>
          <w:szCs w:val="21"/>
        </w:rPr>
        <w:t xml:space="preserve">User story creation and prioritization (Asana, Jira, Notion); client meeting facilitation and design walkthroughs</w:t>
      </w:r>
    </w:p>
    <w:p>
      <w:pPr>
        <w:pBdr>
          <w:bottom w:val="single" w:color="1F2A44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MSc, Information Management</w:t>
      </w:r>
      <w:r>
        <w:rPr>
          <w:rFonts w:ascii="Calibri" w:cs="Calibri" w:eastAsia="Calibri" w:hAnsi="Calibri"/>
          <w:sz w:val="21"/>
          <w:szCs w:val="21"/>
        </w:rPr>
        <w:t xml:space="preserve">  —  Ahmadu Bello University, Zaria, Nigeria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2025 – Present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Bachelor's Degree</w:t>
      </w:r>
      <w:r>
        <w:rPr>
          <w:rFonts w:ascii="Calibri" w:cs="Calibri" w:eastAsia="Calibri" w:hAnsi="Calibri"/>
          <w:sz w:val="21"/>
          <w:szCs w:val="21"/>
        </w:rPr>
        <w:t xml:space="preserve">  —  Imo State University, Imo State, Nigeria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2014 – Sep 2019</w:t>
      </w:r>
    </w:p>
    <w:p>
      <w:pPr>
        <w:pBdr>
          <w:bottom w:val="single" w:color="1F2A44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JPMorgan Chase &amp; Co. Agile Job Simulation — Forage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McKinsey Forward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Inbound Marketing (User Acquisition &amp; Conversion Fundamentals) — HubSpot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VC Industry Research &amp; Pitch Deck Analysis Externship — Extern</w:t>
      </w:r>
    </w:p>
    <w:p>
      <w:pPr>
        <w:pBdr>
          <w:bottom w:val="single" w:color="1F2A44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VOLUNTEER 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Coordinator</w:t>
      </w:r>
      <w:r>
        <w:rPr>
          <w:rFonts w:ascii="Calibri" w:cs="Calibri" w:eastAsia="Calibri" w:hAnsi="Calibri"/>
          <w:sz w:val="21"/>
          <w:szCs w:val="21"/>
        </w:rPr>
        <w:t xml:space="preserve">  —  IDEA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(Aug 2024 – Present)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Led on-site research and needs assessments across multiple schools, contributing to a borehole water supply project that improved access to clean water for 100+ children.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Lead</w:t>
      </w:r>
      <w:r>
        <w:rPr>
          <w:rFonts w:ascii="Calibri" w:cs="Calibri" w:eastAsia="Calibri" w:hAnsi="Calibri"/>
          <w:sz w:val="21"/>
          <w:szCs w:val="21"/>
        </w:rPr>
        <w:t xml:space="preserve">  —  Nsonye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(Aug 2023 – Mar 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Volunteered 5+ hours/week of content and graphic design support, aiding women aged 18–30 in transitioning into the tech industry.</w:t>
      </w:r>
    </w:p>
    <w:p>
      <w:pPr>
        <w:pBdr>
          <w:bottom w:val="single" w:color="1F2A44" w:sz="4"/>
        </w:pBdr>
        <w:spacing w:after="100" w:before="28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LANGUAGES &amp; INTERESTS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English (Fluent), French (Basic)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Interests: </w:t>
      </w:r>
      <w:r>
        <w:rPr>
          <w:rFonts w:ascii="Calibri" w:cs="Calibri" w:eastAsia="Calibri" w:hAnsi="Calibri"/>
          <w:sz w:val="21"/>
          <w:szCs w:val="21"/>
        </w:rPr>
        <w:t xml:space="preserve">Writing UX and product insights for Medium publications; strategy-based board games; travel and cross-cultural experiences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2026-07-29T14:09:27.034Z</dcterms:created>
  <dcterms:modified xsi:type="dcterms:W3CDTF">2026-07-29T14:09:27.051Z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