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687.0599365234375" w:right="84.815673828125" w:hanging="4609.5196533203125"/>
        <w:jc w:val="left"/>
        <w:rPr>
          <w:rFonts w:ascii="Helvetica Neue" w:cs="Helvetica Neue" w:eastAsia="Helvetica Neue" w:hAnsi="Helvetica Neue"/>
          <w:b w:val="0"/>
          <w:i w:val="0"/>
          <w:smallCaps w:val="0"/>
          <w:strike w:val="0"/>
          <w:color w:val="003a5d"/>
          <w:sz w:val="80"/>
          <w:szCs w:val="8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140"/>
          <w:szCs w:val="140"/>
          <w:u w:val="none"/>
          <w:shd w:fill="auto" w:val="clear"/>
          <w:vertAlign w:val="baseline"/>
          <w:rtl w:val="0"/>
        </w:rPr>
        <w:t xml:space="preserve">INJECTION MOLDING </w:t>
      </w:r>
      <w:r w:rsidDel="00000000" w:rsidR="00000000" w:rsidRPr="00000000">
        <w:rPr>
          <w:rFonts w:ascii="Helvetica Neue" w:cs="Helvetica Neue" w:eastAsia="Helvetica Neue" w:hAnsi="Helvetica Neue"/>
          <w:b w:val="0"/>
          <w:i w:val="0"/>
          <w:smallCaps w:val="0"/>
          <w:strike w:val="0"/>
          <w:color w:val="003a5d"/>
          <w:sz w:val="80"/>
          <w:szCs w:val="80"/>
          <w:u w:val="none"/>
          <w:shd w:fill="auto" w:val="clear"/>
          <w:vertAlign w:val="baseline"/>
          <w:rtl w:val="0"/>
        </w:rPr>
        <w:t xml:space="preserve">DESIGN GUIDELINES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1787109375" w:line="240" w:lineRule="auto"/>
        <w:ind w:left="0" w:right="1023.19580078125" w:firstLine="0"/>
        <w:jc w:val="right"/>
        <w:rPr>
          <w:rFonts w:ascii="Helvetica Neue" w:cs="Helvetica Neue" w:eastAsia="Helvetica Neue" w:hAnsi="Helvetica Neue"/>
          <w:b w:val="0"/>
          <w:i w:val="0"/>
          <w:smallCaps w:val="0"/>
          <w:strike w:val="0"/>
          <w:color w:val="003a5d"/>
          <w:sz w:val="58"/>
          <w:szCs w:val="5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8"/>
          <w:szCs w:val="58"/>
          <w:u w:val="none"/>
          <w:shd w:fill="auto" w:val="clear"/>
          <w:vertAlign w:val="baseline"/>
          <w:rtl w:val="0"/>
        </w:rPr>
        <w:t xml:space="preserve">INJECTION MOLDED PARTS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2568359375" w:line="240" w:lineRule="auto"/>
        <w:ind w:left="0" w:right="24.67651367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Injection molding is used for manufacturing a wide variety of parts, from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25.45776367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small components like AAA battery boxes to large components like truck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98.41674804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body panels. Once a component is designed, a mold is made and preci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98.450927734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sion machined to form the features of the desired part. The injection mold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9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ing takes place when a thermoplastic or thermoset plastic material is fed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69580078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into a heated barrel, mixed, and forced into the metal mold cavity where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3047.3590087890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cools and hardens before being removed.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3983.0003356933594"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TOOLING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978515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Mold and die are used interchangeably to describe the tooling applied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517578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produce plastic parts. They are typically constructed from pre-hardened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30.63720703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steel, hardened steel, aluminum, and/or beryllium-copper alloy. Of these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40771484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materials, hardened steel molds are the most expensive to make, but offer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25.3369140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user a long lifespan, which offsets the cost per part by spreading it over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67626953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larger quantity. For low volumes or large components, pre-hardened steel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1088.277587890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molds provide a less wear-resistant and less expensive option.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59521484375" w:line="240" w:lineRule="auto"/>
        <w:ind w:left="0" w:right="98.37768554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most economical molds are produced out of aluminum. When 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25.47729492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signed and built using CNC machines or Electrical Discharge Machining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25.93627929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processes, these molds can economically produce tens of thousands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26.837158203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hundreds of thousands of parts. Note that beryllium copper is often used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24.96948242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 areas of the mold that require fast heat removal or places that see 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3994.5201110839844"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most shear heat generated.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996.4402770996094"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INJECTION MOLDING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40" w:lineRule="auto"/>
        <w:ind w:left="0" w:right="25.05737304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injection molding process uses a granular plastic that is gravity fed from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30.4370117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hopper. A screw-type plunger forces the material into a heated chamber,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98.41674804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called a barrel, where it is melted. The plunger continues to advance, push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23.69384765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ing the polymer through a nozzle at the end of the barrel that is pressed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26.732177734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against the mold. The plastic enters the mold cavity through a gate 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979248046875" w:line="240" w:lineRule="auto"/>
        <w:ind w:left="0" w:right="27.037353515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runner system. After the cavity is filled, a holding pressure is maintained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979248046875" w:line="240" w:lineRule="auto"/>
        <w:ind w:left="0" w:right="23.736572265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to compensate for material shrinkage as it cools. At this same time, the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439392089844" w:line="240" w:lineRule="auto"/>
        <w:ind w:left="0" w:right="117.83447265625" w:firstLine="0"/>
        <w:jc w:val="right"/>
        <w:rPr>
          <w:rFonts w:ascii="Helvetica Neue" w:cs="Helvetica Neue" w:eastAsia="Helvetica Neue" w:hAnsi="Helvetica Neue"/>
          <w:b w:val="0"/>
          <w:i w:val="0"/>
          <w:smallCaps w:val="0"/>
          <w:strike w:val="0"/>
          <w:color w:val="6c6d70"/>
          <w:sz w:val="20"/>
          <w:szCs w:val="20"/>
          <w:u w:val="none"/>
          <w:shd w:fill="auto" w:val="clear"/>
          <w:vertAlign w:val="baseline"/>
        </w:rPr>
        <w:sectPr>
          <w:pgSz w:h="15840" w:w="12240" w:orient="portrait"/>
          <w:pgMar w:bottom="457.2019577026367" w:top="2162.78076171875" w:left="718.6799621582031" w:right="634.96337890625" w:header="0" w:footer="720"/>
          <w:pgNumType w:start="1"/>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5625" w:line="239.9042272567749" w:lineRule="auto"/>
        <w:ind w:left="16.738204956054688" w:right="88.04443359375" w:hanging="0.22003173828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screw turns so that the next shot is moved into a ready  position, and the barrel retracts as the next shot is heated.  Because the mold is kept cold, the plastic solidifies soon  after the mold is filled. Once the part inside the mold cools  completely, the mold opens, and the part is ejected. The  next injection molding cycle starts the moment the mold  closes and the polymer is injected into the mold cavity.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28173828125" w:line="240" w:lineRule="auto"/>
        <w:ind w:left="25.12001037597656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INJECTION MOLDING MATERIALS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12109375" w:line="239.9040412902832" w:lineRule="auto"/>
        <w:ind w:left="11.539993286132812" w:right="89.058837890625" w:firstLine="13.8600158691406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Materials Selection: Many types of thermoplastic ma terials are available. Selection depends on the specific  application. The chart below shows some of the most  common materials being used.  </w:t>
      </w:r>
    </w:p>
    <w:tbl>
      <w:tblPr>
        <w:tblStyle w:val="Table1"/>
        <w:tblW w:w="5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8.75"/>
        <w:gridCol w:w="2651.25"/>
        <w:tblGridChange w:id="0">
          <w:tblGrid>
            <w:gridCol w:w="2638.75"/>
            <w:gridCol w:w="2651.25"/>
          </w:tblGrid>
        </w:tblGridChange>
      </w:tblGrid>
      <w:tr>
        <w:trPr>
          <w:cantSplit w:val="0"/>
          <w:trHeight w:val="954.258422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1646728515625" w:firstLine="0"/>
              <w:jc w:val="right"/>
              <w:rPr>
                <w:rFonts w:ascii="Helvetica Neue" w:cs="Helvetica Neue" w:eastAsia="Helvetica Neue" w:hAnsi="Helvetica Neue"/>
                <w:b w:val="0"/>
                <w:i w:val="0"/>
                <w:smallCaps w:val="0"/>
                <w:strike w:val="0"/>
                <w:color w:val="231f2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
                <w:szCs w:val="26"/>
                <w:u w:val="none"/>
                <w:shd w:fill="auto" w:val="clear"/>
                <w:vertAlign w:val="baseline"/>
                <w:rtl w:val="0"/>
              </w:rPr>
              <w:t xml:space="preserve">INJECTION MOLDING ENGINEERED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0322265625" w:line="240" w:lineRule="auto"/>
              <w:ind w:left="0" w:right="0" w:firstLine="0"/>
              <w:jc w:val="center"/>
              <w:rPr>
                <w:rFonts w:ascii="Helvetica Neue" w:cs="Helvetica Neue" w:eastAsia="Helvetica Neue" w:hAnsi="Helvetica Neue"/>
                <w:b w:val="0"/>
                <w:i w:val="0"/>
                <w:smallCaps w:val="0"/>
                <w:strike w:val="0"/>
                <w:color w:val="231f2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
                <w:szCs w:val="26"/>
                <w:u w:val="none"/>
                <w:shd w:fill="auto" w:val="clear"/>
                <w:vertAlign w:val="baseline"/>
                <w:rtl w:val="0"/>
              </w:rPr>
              <w:t xml:space="preserve">THERMOPLASTIC MATERIALS</w:t>
            </w:r>
          </w:p>
        </w:tc>
      </w:tr>
      <w:tr>
        <w:trPr>
          <w:cantSplit w:val="0"/>
          <w:trHeight w:val="60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Nylons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328.408203125" w:right="211.50146484375"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Polyphenylene Sulfide  PPS</w:t>
            </w:r>
          </w:p>
        </w:tc>
      </w:tr>
      <w:tr>
        <w:trPr>
          <w:cantSplit w:val="0"/>
          <w:trHeight w:val="602.1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Polycarbonates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Polyehter Sulfone</w:t>
            </w:r>
          </w:p>
        </w:tc>
      </w:tr>
      <w:tr>
        <w:trPr>
          <w:cantSplit w:val="0"/>
          <w:trHeight w:val="60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Acetals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8366241455" w:lineRule="auto"/>
              <w:ind w:left="358.768310546875" w:right="241.861572265625"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Polyetheretherketone  PEEK</w:t>
            </w:r>
          </w:p>
        </w:tc>
      </w:tr>
      <w:tr>
        <w:trPr>
          <w:cantSplit w:val="0"/>
          <w:trHeight w:val="60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Acrylics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Fluoropolymers</w:t>
            </w:r>
          </w:p>
        </w:tc>
      </w:tr>
      <w:tr>
        <w:trPr>
          <w:cantSplit w:val="0"/>
          <w:trHeight w:val="60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Polypropylenes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1019287109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Polyether Imide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PEI</w:t>
            </w:r>
          </w:p>
        </w:tc>
      </w:tr>
      <w:tr>
        <w:trPr>
          <w:cantSplit w:val="0"/>
          <w:trHeight w:val="602.1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Polyethylenes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371.30828857421875" w:right="254.18212890625"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Polyphenylene Oxide  PPO</w:t>
            </w:r>
          </w:p>
        </w:tc>
      </w:tr>
      <w:tr>
        <w:trPr>
          <w:cantSplit w:val="0"/>
          <w:trHeight w:val="60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290.63812255859375" w:right="191.011962890625"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Acrylonitrile Butadiene  Styrene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261596679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Polyurethanes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PUR</w:t>
            </w:r>
          </w:p>
        </w:tc>
      </w:tr>
      <w:tr>
        <w:trPr>
          <w:cantSplit w:val="0"/>
          <w:trHeight w:val="60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0720214843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Thermoplastic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Elastomers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301635742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Polyphthalamide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PPA</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942382812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WALL SECTION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64453125" w:line="240" w:lineRule="auto"/>
        <w:ind w:left="98.379516601562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CONSIDERATIONS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4541015625" w:line="240" w:lineRule="auto"/>
        <w:ind w:left="78.219604492187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WALL THICKNESS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2666015625" w:line="239.90394115447998" w:lineRule="auto"/>
        <w:ind w:left="77.8558349609375" w:right="21.62353515625" w:firstLine="7.0397949218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Cost savings are highest when components have a  mini-mum wall thickness, as long as that thickness is  con-sistent with the part’s function and meets all mold  filling considerations. As would be expected, parts cool  faster with thin wall thicknesses, which means that  cycle times are shorter, resulting in more parts per hour.  Further, thin parts weigh less, using less plastic per part.  On average, the wall thickness of an injection molded  part ranges from 2mm to 4mm (.080 inch to .160  inch). Thin wall injection molding can produce walls  as thin as .05mm (.020 inch).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814453125" w:line="240" w:lineRule="auto"/>
        <w:ind w:left="90.53588867187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UNIFORM WALLS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362644195557" w:lineRule="auto"/>
        <w:ind w:left="84.01611328125" w:right="14.96337890625" w:firstLine="8.3593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Parts with walls of uniform thickness allow the mold  cavity to fill more easily since the molten plastic  does not have to be forced through varying  restrictions as it fills.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480224609375" w:line="239.903826713562" w:lineRule="auto"/>
        <w:ind w:left="77.855224609375" w:right="19.403076171875" w:firstLine="15.62011718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If the walls are not uniform the thin section cools  first, then as the thick section cools and shrinks it  builds stresses near the boundary area between the  two. Be-cause the thin section has already hardened,  it doesn’t yield. As the thick section yields, it leads to  warping or twisting of the part, which, if severe  enough, can cause cracks.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9730224609375" w:line="205.22469520568848" w:lineRule="auto"/>
        <w:ind w:left="338.1829833984375" w:right="368.4826660156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005667" cy="1360002"/>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005667" cy="1360002"/>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sectPr>
          <w:type w:val="continuous"/>
          <w:pgSz w:h="15840" w:w="12240" w:orient="portrait"/>
          <w:pgMar w:bottom="457.2019577026367" w:top="2162.78076171875" w:left="740" w:right="634.96337890625" w:header="0" w:footer="720"/>
          <w:cols w:equalWidth="0" w:num="2">
            <w:col w:space="0" w:w="5440"/>
            <w:col w:space="0" w:w="5440"/>
          </w:cols>
        </w:sect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Uniform wall thickness can reduce or eliminate warping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479614257812" w:line="240" w:lineRule="auto"/>
        <w:ind w:left="5.52001953125" w:right="0" w:firstLine="0"/>
        <w:jc w:val="lef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2 STRATASYSDIRECT.COM | 888-311-1017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820037841796875" w:right="1357.4618530273438" w:hanging="8.680038452148438"/>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What if you cannot have uniform walls  (due to design limitations)?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2294921875" w:line="239.9042272567749" w:lineRule="auto"/>
        <w:ind w:left="0.22003173828125" w:right="99.940185546875" w:firstLine="15.179977416992188"/>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If design limitations make it impossible to have uniform  wall thicknesses, the change in thickness should be as  gradual as possible.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7900390625" w:line="240" w:lineRule="auto"/>
        <w:ind w:left="398.21571350097656" w:right="0" w:firstLine="0"/>
        <w:jc w:val="left"/>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843363" cy="1137913"/>
            <wp:effectExtent b="0" l="0" r="0" t="0"/>
            <wp:docPr id="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843363" cy="1137913"/>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2: Transition of wall thickness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2666015625" w:line="239.90394115447998" w:lineRule="auto"/>
        <w:ind w:left="0" w:right="99.9395751953125" w:firstLine="6.81999206542968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Coring is a method where plastic is removed from the  thick area, which helps to keep wall sections uniform,  eliminating the problem altogether.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654296875" w:line="203.4554100036621" w:lineRule="auto"/>
        <w:ind w:left="441.0264587402344" w:right="687.4707031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737804" cy="1468863"/>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37804" cy="1468863"/>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3: Coring to eliminate sinks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252075195312" w:line="239.90394115447998" w:lineRule="auto"/>
        <w:ind w:left="11.880035400390625" w:right="100.821533203125" w:hanging="5.060043334960937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Gussets are support structures that can be designed  into the part to reduce the possibility of warping.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5932617187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VOIDS AND SHRINKAGE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12109375" w:line="239.90396976470947" w:lineRule="auto"/>
        <w:ind w:left="77.579345703125" w:right="19.94140625" w:hanging="2.2003173828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Troublesome shrinkage problems can be caused by the  intersection of walls that are not uniform in wall thick ness. Examples might include ribs, bosses, or any other  projection of the nominal wall. Since thicker walls solidify  slower, the area they are attached to at the nominal wall  will shrink as the projection shrinks. This can result in  a sunken area in the nominal wall. Such shrinkage can  be minimized if a rib thickness is maintained to between  50 and 60 percent of the walls they are attached to. To  further our example, bosses located into a corner will  produce very thick walls, causing sink, unless isolated as  in the illustration below.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429687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473938" cy="1147334"/>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73938" cy="114733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5: Boss design to eliminate sinks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6787109375" w:line="240" w:lineRule="auto"/>
        <w:ind w:left="80.139770507812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WARPAGE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3798828125" w:line="239.90394115447998" w:lineRule="auto"/>
        <w:ind w:left="77.579345703125" w:right="19.94384765625" w:hanging="2.4200439453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dynamic of thin and thick sections and their cooling  times creates warping as well. As would be expected, as  a thick section cools it shrinks, and the material for the  shrinkage comes from the unsolidified areas causing the  part to warp.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804443359375" w:line="239.90394115447998" w:lineRule="auto"/>
        <w:ind w:left="85.9393310546875" w:right="20.166015625"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57.2019577026367" w:top="2162.78076171875" w:left="730.5760192871094" w:right="649.365234375" w:header="0" w:footer="720"/>
          <w:cols w:equalWidth="0" w:num="2">
            <w:col w:space="0" w:w="5440"/>
            <w:col w:space="0" w:w="5440"/>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Other causes for warping might include the molding pro cess conditions, injection pressures, cooling rates, packing  problems, and mold temperatures. Resin manufacturers’  process guidelines should be followed for best results.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713256835937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649639" cy="1195831"/>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49639" cy="1195831"/>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657739" cy="1270748"/>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57739" cy="127074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4: Gusseting to reduce warping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4024658203125" w:line="240" w:lineRule="auto"/>
        <w:ind w:left="0" w:right="0" w:firstLine="0"/>
        <w:jc w:val="left"/>
        <w:rPr>
          <w:rFonts w:ascii="Helvetica Neue" w:cs="Helvetica Neue" w:eastAsia="Helvetica Neue" w:hAnsi="Helvetica Neue"/>
          <w:b w:val="0"/>
          <w:i w:val="1"/>
          <w:smallCaps w:val="0"/>
          <w:strike w:val="0"/>
          <w:color w:val="231f20"/>
          <w:sz w:val="20"/>
          <w:szCs w:val="20"/>
          <w:u w:val="none"/>
          <w:shd w:fill="auto" w:val="clear"/>
          <w:vertAlign w:val="baseline"/>
        </w:rPr>
        <w:sectPr>
          <w:type w:val="continuous"/>
          <w:pgSz w:h="15840" w:w="12240" w:orient="portrait"/>
          <w:pgMar w:bottom="457.2019577026367" w:top="2162.78076171875" w:left="1687.2561645507812" w:right="868.93310546875" w:header="0" w:footer="720"/>
          <w:cols w:equalWidth="0" w:num="2">
            <w:col w:space="0" w:w="4860"/>
            <w:col w:space="0" w:w="4860"/>
          </w:cols>
        </w:sect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6: Warpage caused by non-uniform wall thickness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860290527344" w:line="240" w:lineRule="auto"/>
        <w:ind w:left="0" w:right="88.634033203125" w:firstLine="0"/>
        <w:jc w:val="righ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997863769531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BOSSES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42272567749" w:lineRule="auto"/>
        <w:ind w:left="8.3599853515625" w:right="103.260498046875" w:firstLine="8.35998535156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Bosses are used to facilitate the registration of mating  parts, for attaching fasteners such as screws, or for ac cepting threaded inserts.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61767578125" w:line="213.095383644104" w:lineRule="auto"/>
        <w:ind w:left="172.60360717773438" w:right="320.6384277343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128491" cy="1541528"/>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28491" cy="1541528"/>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7: Boss design guidelines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337890625" w:line="239.90394115447998" w:lineRule="auto"/>
        <w:ind w:left="8.3599853515625" w:right="103.2818603515625" w:hanging="7.4800109863281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Wall thicknesses for bosses should be less than 60 per cent of the nominal wall to minimize sinking. However,  if the boss is not in a visible area, then the wall thick ness can be increased to allow for increased stresses  imposed by self-tapping screws.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814453125" w:line="210.86999416351318" w:lineRule="auto"/>
        <w:ind w:left="277.53074645996094" w:right="437.98889160156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987345" cy="1357884"/>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87345" cy="1357884"/>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8: Boss strengthening technique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73291015625" w:line="239.9040412902832" w:lineRule="auto"/>
        <w:ind w:left="7.6999664306640625" w:right="77.3004150390625" w:hanging="7.69996643066406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base radius should be a minimum of 0.25 X thick ness. Bosses can be strengthened by incorporating gus sets at the base or by using connecting ribs attaching to  nearby walls.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931396484375" w:line="240" w:lineRule="auto"/>
        <w:ind w:left="106.054077148437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RIBS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748046875" w:line="239.9040412902832" w:lineRule="auto"/>
        <w:ind w:left="76.9140625" w:right="2.80517578125" w:firstLine="14.29992675781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Ribs are used in a design to increase the bending stiff ness of a part without adding thickness. Ribs increase  the moment of inertia, which increases the bending  stiffness.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47900390625" w:line="251.29918098449707" w:lineRule="auto"/>
        <w:ind w:left="168.314208984375" w:right="95.97412109375" w:hanging="3.5699462890625"/>
        <w:jc w:val="left"/>
        <w:rPr>
          <w:rFonts w:ascii="Helvetica Neue" w:cs="Helvetica Neue" w:eastAsia="Helvetica Neue" w:hAnsi="Helvetica Neue"/>
          <w:b w:val="0"/>
          <w:i w:val="1"/>
          <w:smallCaps w:val="0"/>
          <w:strike w:val="0"/>
          <w:color w:val="231f20"/>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1"/>
          <w:szCs w:val="21"/>
          <w:u w:val="none"/>
          <w:shd w:fill="auto" w:val="clear"/>
          <w:vertAlign w:val="baseline"/>
          <w:rtl w:val="0"/>
        </w:rPr>
        <w:t xml:space="preserve">Bending Stiffness = E (young’s Modulus) x I (Moment  of Inertia)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3486328125" w:line="239.9040126800537" w:lineRule="auto"/>
        <w:ind w:left="82.1942138671875" w:right="2.8271484375" w:firstLine="9.0197753906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Rib thickness should be less than wall thickness to min imize sinking effects. The recommended rib thickness  should not exceed 60 percent of the nominal thickness.  Plus, the rib should be attached with corner radii as  generous as possible.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197509765625" w:line="216.47888660430908" w:lineRule="auto"/>
        <w:ind w:left="101.217041015625" w:right="65.468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sectPr>
          <w:type w:val="continuous"/>
          <w:pgSz w:h="15840" w:w="12240" w:orient="portrait"/>
          <w:pgMar w:bottom="457.2019577026367" w:top="2162.78076171875" w:left="744.6260833740234" w:right="658.1787109375" w:header="0" w:footer="720"/>
          <w:cols w:equalWidth="0" w:num="2">
            <w:col w:space="0" w:w="5420"/>
            <w:col w:space="0" w:w="5420"/>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335855" cy="1544565"/>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335855" cy="1544565"/>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9: Proper rib design reduces sinking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188842773438" w:line="240" w:lineRule="auto"/>
        <w:ind w:left="4.5200347900390625" w:right="0" w:firstLine="0"/>
        <w:jc w:val="lef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4 STRATASYSDIRECT.COM | 888-311-1017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4004211425781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RIB INTERSECTIONS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384101867676" w:lineRule="auto"/>
        <w:ind w:left="2.8600311279296875" w:right="97.2991943359375" w:firstLine="14.300003051757812"/>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Because the thickness of the material will be greater at  the rib intersections, coring or another means of ma terial removal should be employed to avoid excessive  sinking from occurring on the opposite side.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98974609375" w:line="240" w:lineRule="auto"/>
        <w:ind w:left="0" w:right="0"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810995" cy="158357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810995" cy="1583570"/>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10: Coring at rib intersections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61767578125" w:line="240" w:lineRule="auto"/>
        <w:ind w:left="17.84004211425781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RIB GUILDELINES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3798828125" w:line="239.90394115447998" w:lineRule="auto"/>
        <w:ind w:left="0.4400634765625" w:right="97.0758056640625" w:hanging="0.44006347656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height of a rib should be limited to less than three  times its thickness. It is better to use multiple ribs to  increase bending stiffness than to use one very tall rib.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751708984375" w:line="209.88365650177002" w:lineRule="auto"/>
        <w:ind w:left="165.7213592529297" w:right="415.5175781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085313" cy="1357012"/>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85313" cy="1357012"/>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11: Design guidelines for ribs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929931640625" w:line="240" w:lineRule="auto"/>
        <w:ind w:left="17.84004211425781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RIB/LOAD AFFECT ON STIFFNESS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40126800537" w:lineRule="auto"/>
        <w:ind w:left="0" w:right="96.6375732421875"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rib is oriented in such a way as to provide maximum  bending stiffness to the part. By paying attention to part  geometry, designers must be conscious of the orienta tion of the rib to the bending load or there will be no  increase in stiffness.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578125" w:line="211.76437854766846" w:lineRule="auto"/>
        <w:ind w:left="159.6429443359375" w:right="193.5803222656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230104" cy="1624860"/>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230104" cy="1624860"/>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12: Rib/ load orientation affects part stiffness;  Draft angles for ribs should be a minimum of 0.25 to 0.5  degree of draft per side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658447265625" w:line="240" w:lineRule="auto"/>
        <w:ind w:left="112.000122070312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DRAFT AND TEXTURE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8134765625" w:line="239.90361213684082" w:lineRule="auto"/>
        <w:ind w:left="88.3544921875" w:right="12.945556640625" w:firstLine="8.3593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Mold drafts facilitate part removal from the mold. The  draft must be in an offset angle that is parallel to the  mold opening and closing. The ideal draft angle for  a given part depends on the depth of the part in the  mold and its required end-use function.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3134765625" w:line="220.61782836914062" w:lineRule="auto"/>
        <w:ind w:left="56.2213134765625" w:right="38.7731933593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394079" cy="1543377"/>
            <wp:effectExtent b="0" l="0" r="0" t="0"/>
            <wp:docPr id="1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394079" cy="1543377"/>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12: Draft Angle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593505859375" w:line="239.9040412902832" w:lineRule="auto"/>
        <w:ind w:left="80" w:right="16.748046875" w:hanging="2.8601074218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Allowing for as much draft as possible will permit parts  to release from the mold easily. Typically, one to two  degrees of drafts with an additional 1.5 degrees per  0.25mm depth of texture is enough to do the trick.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804443359375" w:line="239.90394115447998" w:lineRule="auto"/>
        <w:ind w:left="88.1402587890625" w:right="16.639404296875" w:hanging="7.7001953125"/>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57.2019577026367" w:top="2162.78076171875" w:left="718.6799621582031" w:right="654.26513671875" w:header="0" w:footer="720"/>
          <w:cols w:equalWidth="0" w:num="2">
            <w:col w:space="0" w:w="5440"/>
            <w:col w:space="0" w:w="5440"/>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mold part line will need to be located in a way that  splits the draft in order to minimize it. If no draft is ac ceptable due to design considerations, a side action  mold may be required.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982849121094" w:line="240" w:lineRule="auto"/>
        <w:ind w:left="0" w:right="88.634033203125" w:firstLine="0"/>
        <w:jc w:val="righ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TEXTURES AND LETTERING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7548828125" w:line="239.90386962890625" w:lineRule="auto"/>
        <w:ind w:left="0" w:right="98.4197998046875"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Whether to incorporate identifying information or to in clude as an aesthetic addition, textures and lettering can  be included onto mold surfaces for the end user or fac tory purposes. Texturing may also hide surface defects  such as knit lines and other imperfections. The depth of  the texture or letters is somewhat limited, and extra draft  needs to be provided to allow for part removal from the  mold without dragging or marring the part.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486328125" w:line="239.90396976470947" w:lineRule="auto"/>
        <w:ind w:left="1.5398406982421875" w:right="98.18115234375" w:firstLine="14.300155639648438"/>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Draft for texturing is somewhat dependent on the part  design and specific texture desired. As a general guide line, 1.5° min. per 0.025mm (0.001 inch) depth of tex ture needs to be allowed for in addition to the normal  draft. Usually for general office equipment such as lap top computers a texture depth of 0.025 mm (0.001 inch)  is used and the minimum draft recommended is 1.5°.  More may be needed for heavier textured surfaces such  as leather (with a depth of 0.125 mm/0.005 inch) that  requires a minimum draft of 7.5°.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47412109375" w:line="240" w:lineRule="auto"/>
        <w:ind w:left="17.160034179687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SHARP CORNERS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39.90386962890625" w:lineRule="auto"/>
        <w:ind w:left="1.5399932861328125" w:right="91.5777587890625" w:firstLine="4.61997985839843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Sharp corners greatly increase stress concentration,  which, when high enough, can lead to part failure.  Sharp corners often come about in non-obvious  places, such as a boss attached to a surface, or a  strengthening rib. The radius of sharp corners needs  to be watched closely because the stress concentra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394115447998" w:lineRule="auto"/>
        <w:ind w:left="1.320037841796875" w:right="91.639404296875" w:firstLine="0.219955444335937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tion factor varies with radius for a given thickness. As  illustrated in the chart to the left, the stress concen tration factor is high for R/T values less than 0.5, but  for R/T values over 0.5 the concentration lowers. The  stress concentration factor is a multiplier that greatly  increases stress. It is recommended that an inside  radius be a minimum of one times the thickness.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480224609375" w:line="239.9039125442505" w:lineRule="auto"/>
        <w:ind w:left="0.4399871826171875" w:right="173.2000732421875" w:firstLine="16.500015258789062"/>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 addition to reducing stresses, the fillet r adius p ro vides a streamlined flow path for the molten plastic, re sulting in an easier fill of the mold.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2265625" w:line="207.81550884246826" w:lineRule="auto"/>
        <w:ind w:left="302.093505859375" w:right="426.621093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991666" cy="2212830"/>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991666" cy="2212830"/>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13: Stress Concentration Factor, 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20263671875" w:line="239.9040412902832" w:lineRule="auto"/>
        <w:ind w:left="76.1798095703125" w:right="20.67626953125" w:hanging="2.8601074218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At corners, the suggested inside radius is 0.5 times the  material thickness and the outside radius is 1.5 times  the material thickness. A bigger radius should be used  if part design allows.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690185546875" w:line="216.72039985656738" w:lineRule="auto"/>
        <w:ind w:left="129.542236328125" w:right="98.4204101562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3309644" cy="1626378"/>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309644" cy="1626378"/>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14: Radius Recommendation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701416015625" w:line="240" w:lineRule="auto"/>
        <w:ind w:left="123.07983398437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INSERTS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39.89990711212158" w:lineRule="auto"/>
        <w:ind w:left="101.820068359375" w:right="2.965087890625" w:firstLine="10.119628906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Inserts used in plastic parts provide a place for fasteners  such as machine screws. The advantage of using inserts  is that they are often made of brass and are robust. They  allow for a great many cycles of assembly and disas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37939453125" w:line="239.90408420562744" w:lineRule="auto"/>
        <w:ind w:left="108.4173583984375" w:right="78.28369140625" w:hanging="6.5997314453125"/>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57.2019577026367" w:top="2162.78076171875" w:left="722.5" w:right="640.465087890625" w:header="0" w:footer="720"/>
          <w:cols w:equalWidth="0" w:num="2">
            <w:col w:space="0" w:w="5440"/>
            <w:col w:space="0" w:w="5440"/>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sembly. Inserts are installed in injection molded parts us ing one of the following methods: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121276855469" w:line="240" w:lineRule="auto"/>
        <w:ind w:left="5.52001953125" w:right="0" w:firstLine="0"/>
        <w:jc w:val="lef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6 STRATASYSDIRECT.COM | 888-311-1017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704040527344" w:right="0" w:firstLine="0"/>
        <w:jc w:val="left"/>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Pr>
        <w:drawing>
          <wp:inline distB="19050" distT="19050" distL="19050" distR="19050">
            <wp:extent cx="2992579" cy="128786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992579" cy="1287866"/>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15: Threaded Insert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6337890625" w:line="240" w:lineRule="auto"/>
        <w:ind w:left="14.87998962402343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ULTRASONIC INSERTION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3798828125" w:line="239.9040412902832" w:lineRule="auto"/>
        <w:ind w:left="2.4199676513671875" w:right="97.32177734375" w:firstLine="12.7600097656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Ultrasonic insertion is when an insert is “vibrated” into  place by using an ultrasonic transducer called the “horn”  that is mounted into the ultrasonic device. For optimum  performance, the horn is specially designed for each ap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389823913574" w:lineRule="auto"/>
        <w:ind w:left="7.6999664306640625" w:right="97.958984375" w:firstLine="6.38000488281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plication. Ultrasonic energy is converted to thermal en ergy by the vibrating action, which allows the insert to be  melted into the hole. This type of insertion can be done  rapidly, with short cycle times, and low residual stresses.  Good melt flow characteristics for the plastic is neces sary for the process to be successful.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87548828125" w:line="240" w:lineRule="auto"/>
        <w:ind w:left="2.55996704101562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THERMAL INSERTION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398406982422" w:lineRule="auto"/>
        <w:ind w:left="0" w:right="97.3004150390625" w:firstLine="0"/>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This method uses a heated tool, like a soldering iron,  to first heat the insert until it melts the plastic, and then  presses the insert into place. As the plastic cools it  shrinks around the insert, capturing it. The advantage  of this method is that the special tooling is inexpensive  and simple to use. Care does need to be taken not to  overheat the insert or plastic, which could result in a non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7.6999664306640625"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secure fit and degradation of the plastic.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17.39997863769531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MOLDED-IN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029541015625" w:line="239.9040412902832" w:lineRule="auto"/>
        <w:ind w:left="8.3599853515625" w:right="97.52197265625" w:hanging="8.35998535156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To mold inserts into place during the molding cycle, core  pins are used to hold the inserts. The injected plastic  completely encases the insert, which provides excellent  retention. This process may slow the molding cycle be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394115447998" w:lineRule="auto"/>
        <w:ind w:left="2.4199676513671875" w:right="97.520751953125" w:firstLine="5.940017700195312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cause inserts have to be hand loaded, but it also elimi nates secondary operations such as the ultrasonic and  thermal insertion methods. Finally, for high volume pro duction runs, an automatic tool can load the inserts but  this increases the complexity and cost of the mold.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82568359375" w:line="240" w:lineRule="auto"/>
        <w:ind w:left="104.800415039062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LIVING HINGES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33203125" w:line="239.90384101867676" w:lineRule="auto"/>
        <w:ind w:left="87.7001953125" w:right="17.303466796875" w:firstLine="9.0197753906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Living hinges are thin sections of plastic that connect two  segments of a part to keep them together and allow the  part to “hinge” open and closed. Typically these hinges  are incorporated in containers that are used in high vol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6328125" w:line="239.45825099945068" w:lineRule="auto"/>
        <w:ind w:left="93.85986328125" w:right="523.884277343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ume applications such as toolboxes and CD cases. </w:t>
      </w: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819527" cy="1384328"/>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819527" cy="1384328"/>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16: Box with Living Hinge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89453125" w:line="239.9040412902832" w:lineRule="auto"/>
        <w:ind w:left="82.2003173828125" w:right="18.421630859375" w:firstLine="14.0795898437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Materials used in molding living hinges must be very  flexible, such as polypropylene or polyethylene. A well designed living hinge typically flexes more than a million  cycles without failure.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0537109375" w:line="208.67647647857666" w:lineRule="auto"/>
        <w:ind w:left="445.4296875" w:right="442.75146484375"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890405" cy="1337758"/>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890405" cy="1337758"/>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231f20"/>
          <w:sz w:val="20"/>
          <w:szCs w:val="20"/>
          <w:u w:val="none"/>
          <w:shd w:fill="auto" w:val="clear"/>
          <w:vertAlign w:val="baseline"/>
        </w:rPr>
        <w:sectPr>
          <w:type w:val="continuous"/>
          <w:pgSz w:h="15840" w:w="12240" w:orient="portrait"/>
          <w:pgMar w:bottom="457.2019577026367" w:top="2162.78076171875" w:left="719.1200256347656" w:right="658.18359375" w:header="0" w:footer="720"/>
          <w:cols w:equalWidth="0" w:num="2">
            <w:col w:space="0" w:w="5440"/>
            <w:col w:space="0" w:w="5440"/>
          </w:cols>
        </w:sect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Living Hinge Design for Polypropylene and Polyethylene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381225585938" w:line="240" w:lineRule="auto"/>
        <w:ind w:left="0" w:right="92.83447265625" w:firstLine="0"/>
        <w:jc w:val="right"/>
        <w:rPr>
          <w:rFonts w:ascii="Helvetica Neue" w:cs="Helvetica Neue" w:eastAsia="Helvetica Neue" w:hAnsi="Helvetica Neue"/>
          <w:b w:val="0"/>
          <w:i w:val="0"/>
          <w:smallCaps w:val="0"/>
          <w:strike w:val="0"/>
          <w:color w:val="6c6d70"/>
          <w:sz w:val="20"/>
          <w:szCs w:val="20"/>
          <w:u w:val="none"/>
          <w:shd w:fill="auto" w:val="clear"/>
          <w:vertAlign w:val="baseline"/>
        </w:rPr>
        <w:sectPr>
          <w:type w:val="continuous"/>
          <w:pgSz w:h="15840" w:w="12240" w:orient="portrait"/>
          <w:pgMar w:bottom="457.2019577026367" w:top="2162.78076171875" w:left="718.6799621582031" w:right="634.96337890625" w:header="0" w:footer="720"/>
          <w:cols w:equalWidth="0" w:num="1">
            <w:col w:space="0" w:w="10886.356658935547"/>
          </w:cols>
        </w:sect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9993286132812"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GAS ASSIST MOLDING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39.90361213684082" w:lineRule="auto"/>
        <w:ind w:left="8.820037841796875" w:right="89.140625" w:hanging="2.4199676513671875"/>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This process is used to hollow out thick sections of a  part where coring is not an option and sink is not accept able. Gas assist molding can be applied to almost any  thermoplastic, and most conventional molding machines  can be adapted for gas assist molding.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84521484375" w:line="240" w:lineRule="auto"/>
        <w:ind w:left="690.1852416992188"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Pr>
        <w:drawing>
          <wp:inline distB="19050" distT="19050" distL="19050" distR="19050">
            <wp:extent cx="2173488" cy="2815604"/>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173488" cy="281560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160583496094" w:right="0" w:firstLine="0"/>
        <w:jc w:val="left"/>
        <w:rPr>
          <w:rFonts w:ascii="Helvetica Neue" w:cs="Helvetica Neue" w:eastAsia="Helvetica Neue" w:hAnsi="Helvetica Neue"/>
          <w:b w:val="0"/>
          <w:i w:val="1"/>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Figure 18: Gas Assist Molding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040405273438" w:line="240" w:lineRule="auto"/>
        <w:ind w:left="0" w:right="0" w:firstLine="0"/>
        <w:jc w:val="left"/>
        <w:rPr>
          <w:rFonts w:ascii="Helvetica Neue" w:cs="Helvetica Neue" w:eastAsia="Helvetica Neue" w:hAnsi="Helvetica Neue"/>
          <w:b w:val="0"/>
          <w:i w:val="0"/>
          <w:smallCaps w:val="0"/>
          <w:strike w:val="0"/>
          <w:color w:val="6c6d7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6c6d70"/>
          <w:sz w:val="20"/>
          <w:szCs w:val="20"/>
          <w:u w:val="none"/>
          <w:shd w:fill="auto" w:val="clear"/>
          <w:vertAlign w:val="baseline"/>
          <w:rtl w:val="0"/>
        </w:rPr>
        <w:t xml:space="preserve">8 STRATASYSDIRECT.COM | 888-311-1017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399169921875" w:right="0" w:firstLine="0"/>
        <w:jc w:val="left"/>
        <w:rPr>
          <w:rFonts w:ascii="Helvetica Neue" w:cs="Helvetica Neue" w:eastAsia="Helvetica Neue" w:hAnsi="Helvetica Neue"/>
          <w:b w:val="0"/>
          <w:i w:val="0"/>
          <w:smallCaps w:val="0"/>
          <w:strike w:val="0"/>
          <w:color w:val="003a5d"/>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3a5d"/>
          <w:sz w:val="52"/>
          <w:szCs w:val="52"/>
          <w:u w:val="none"/>
          <w:shd w:fill="auto" w:val="clear"/>
          <w:vertAlign w:val="baseline"/>
          <w:rtl w:val="0"/>
        </w:rPr>
        <w:t xml:space="preserve">OVERMOLDING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39.9032688140869" w:lineRule="auto"/>
        <w:ind w:left="76.319580078125" w:right="21.8798828125" w:hanging="2.2003173828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overmolding process is when a flexible material is  molded onto a more rigid material called a substrate. If  properly selected, the overmolded (flexible material) will  form a strong bond with the substrate. Bonding agents  are no longer required to achieve optimum bond be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6328125" w:line="240" w:lineRule="auto"/>
        <w:ind w:left="78.740234375"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tween the substrate and overmold.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6435546875" w:line="240" w:lineRule="auto"/>
        <w:ind w:left="92.32055664062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INSERT MOLDING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39125442505" w:lineRule="auto"/>
        <w:ind w:left="84.019775390625" w:right="21.199951171875" w:hanging="7.7001953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most widely used overmolding process is insert  molding. This is where a pre-molded substrate is placed  into a mold and the flexible material is shot directly over  it. The advantage of this process is that conventional,  single shot injection molding machines can be used.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814453125" w:line="240" w:lineRule="auto"/>
        <w:ind w:left="78.8800048828125"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TWO SHOT MOLDING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39.90386962890625" w:lineRule="auto"/>
        <w:ind w:left="76.319580078125" w:right="21.0205078125" w:hanging="2.420043945312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This is a multi-material overmolding process that requires  a special injection molding machine that incorporates  two or more barrels. This allows two or more materials  to be shot into the same mold during the same molding  cycle. The two shot molding is usually associated with  high volume production of greater than 250,000 cycles.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282043457031" w:line="239.90396976470947" w:lineRule="auto"/>
        <w:ind w:left="78.1597900390625" w:right="1092.401123046875" w:firstLine="5.11962890625"/>
        <w:jc w:val="left"/>
        <w:rPr>
          <w:rFonts w:ascii="Helvetica Neue" w:cs="Helvetica Neue" w:eastAsia="Helvetica Neue" w:hAnsi="Helvetica Neue"/>
          <w:b w:val="0"/>
          <w:i w:val="0"/>
          <w:smallCaps w:val="0"/>
          <w:strike w:val="0"/>
          <w:color w:val="6c6d7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6c6d70"/>
          <w:sz w:val="16"/>
          <w:szCs w:val="16"/>
          <w:u w:val="none"/>
          <w:shd w:fill="auto" w:val="clear"/>
          <w:vertAlign w:val="baseline"/>
          <w:rtl w:val="0"/>
        </w:rPr>
        <w:t xml:space="preserve">Copyright © 2015 Stratasys Direct, Inc. All rights reserved.  Proprietary information do not distribute without prior consent  from Stratasys Direct Manufacturing.</w:t>
      </w:r>
    </w:p>
    <w:sectPr>
      <w:type w:val="continuous"/>
      <w:pgSz w:h="15840" w:w="12240" w:orient="portrait"/>
      <w:pgMar w:bottom="457.2019577026367" w:top="2162.78076171875" w:left="722.7999877929688" w:right="658.22021484375" w:header="0" w:footer="720"/>
      <w:cols w:equalWidth="0" w:num="2">
        <w:col w:space="0" w:w="5440"/>
        <w:col w:space="0" w:w="54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5.png"/><Relationship Id="rId18"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