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wxjqblb78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Jobs Insights Memo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 Translate job funnel metrics into clear product, UI, and sales actions to improve applications and perceived college ROI.</w:t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Jobs is a core value driver. Funnel analysis shows performance gaps across stages — especially in View → Click and Apply Start → Submit stages. Improving these will directly increase applications and college placement performance.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Key Insights &amp; Recommended Actions</w:t>
      </w:r>
    </w:p>
    <w:p w:rsidR="00000000" w:rsidDel="00000000" w:rsidP="00000000" w:rsidRDefault="00000000" w:rsidRPr="00000000" w14:paraId="00000005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Insight: Low View - Click Conversion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Observation:</w:t>
        <w:br w:type="textWrapping"/>
        <w:t xml:space="preserve"> High job views but low clicks indicate job listings are not attractive enough.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Possible Causes: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Weak job titles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Salary not visible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 name missing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gr8rbclop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 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Highlight salary range upfront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company logo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 job title formatting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js4cp5hf7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Insight: Drop-off at Click - Apply Start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Observation:</w:t>
        <w:br w:type="textWrapping"/>
        <w:t xml:space="preserve"> Users click job details but don’t start applying.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Possible Causes: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job description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Unclear eligibility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Missing compensation details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 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a structured JD layout: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Skills required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Salary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Location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“You match 80% of requirements” indicator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sticky Apply button</w:t>
        <w:br w:type="textWrapping"/>
      </w:r>
    </w:p>
    <w:p w:rsidR="00000000" w:rsidDel="00000000" w:rsidP="00000000" w:rsidRDefault="00000000" w:rsidRPr="00000000" w14:paraId="0000001D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Insight: High Drop-off at Apply Start -Submit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Observation:</w:t>
        <w:br w:type="textWrapping"/>
        <w:t xml:space="preserve"> Users start application but don’t complete it.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Possible Causes: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form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Resume upload issues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Mandatory irrelevant fields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yj6r349c2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Action 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Reduce form length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Enable one-click resume upload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progress bar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 save &amp; continue later</w:t>
        <w:br w:type="textWrapping"/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ptyrz4wkt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Insight: Certain Roles Have Higher Conversion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Observation:</w:t>
        <w:br w:type="textWrapping"/>
        <w:t xml:space="preserve"> Some job categories convert 2x higher than others.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Meaning:</w:t>
        <w:br w:type="textWrapping"/>
        <w:t xml:space="preserve"> Students prefer specific domains (e.g., tech over non-tech).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Push high-performing roles more in feed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Sales team to acquire more jobs in high-conversion categories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Promote trending roles section</w:t>
        <w:br w:type="textWrapping"/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obwtxil0o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Insight: Some Colleges Have Higher Submit Rate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Observation:</w:t>
        <w:br w:type="textWrapping"/>
        <w:t xml:space="preserve"> Top 20% colleges contribute 60% of submissions.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Meaning:</w:t>
        <w:br w:type="textWrapping"/>
        <w:t xml:space="preserve"> Student quality or engagement differs.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hfz4kvtu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Action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study top-performing colleges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Replicate best practices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Offer training/placement workshops to low-performing colleges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Sales pitch using “placement performance dashboard”</w:t>
        <w:br w:type="textWrapping"/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h0q9ktqd5h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Expected Impact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actions are implemented: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+10–15% increase in View → Click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+8–12% increase in applications submitted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Higher placement visibility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Improved college ROI perception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Stronger sales narrative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4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