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Calibri" w:hAnsi="Calibri"/>
          <w:b/>
          <w:color w:val="0F172A"/>
          <w:sz w:val="27"/>
        </w:rPr>
        <w:t>[INSERT COLLEGE NAME]</w:t>
        <w:br/>
      </w:r>
      <w:r>
        <w:rPr>
          <w:rFonts w:ascii="Calibri" w:hAnsi="Calibri"/>
          <w:b/>
          <w:color w:val="1E3A8A"/>
          <w:sz w:val="23"/>
        </w:rPr>
        <w:t>DEPARTMENT OF COMPUTER ENGINEERING</w:t>
        <w:br/>
      </w:r>
      <w:r>
        <w:rPr>
          <w:rFonts w:ascii="Calibri" w:hAnsi="Calibri"/>
          <w:color w:val="334155"/>
          <w:sz w:val="19"/>
        </w:rPr>
        <w:t>Affiliated to [INSERT UNIVERSITY NAME]</w:t>
        <w:br/>
        <w:t>Academic Year [INSERT ACADEMIC YEAR]</w:t>
      </w:r>
    </w:p>
    <w:p>
      <w:pPr>
        <w:spacing w:before="520" w:after="200"/>
        <w:jc w:val="center"/>
      </w:pPr>
      <w:r>
        <w:rPr>
          <w:rFonts w:ascii="Calibri" w:hAnsi="Calibri"/>
          <w:b/>
          <w:color w:val="4B5563"/>
          <w:sz w:val="21"/>
        </w:rPr>
        <w:t>A MINI-PROJECT REPORT ON</w:t>
        <w:br/>
        <w:br/>
      </w:r>
      <w:r>
        <w:rPr>
          <w:rFonts w:ascii="Calibri" w:hAnsi="Calibri"/>
          <w:b/>
          <w:color w:val="0F172A"/>
          <w:sz w:val="28"/>
        </w:rPr>
        <w:t>Authenticated File Encryption System:</w:t>
        <w:br/>
        <w:t>A Secure Cloud Storage Architecture with AES-256-GCM, Envelope Key Management, and Pluggable S3 Integration</w:t>
      </w:r>
    </w:p>
    <w:p>
      <w:pPr>
        <w:spacing w:before="320" w:after="480"/>
        <w:jc w:val="center"/>
      </w:pPr>
      <w:r>
        <w:rPr>
          <w:rFonts w:ascii="Calibri" w:hAnsi="Calibri"/>
          <w:i/>
          <w:color w:val="1F2937"/>
          <w:sz w:val="19"/>
        </w:rPr>
        <w:t>Submitted in partial fulfillment of the requirements for the Degree of</w:t>
        <w:br/>
      </w:r>
      <w:r>
        <w:rPr>
          <w:rFonts w:ascii="Calibri" w:hAnsi="Calibri"/>
          <w:b/>
          <w:color w:val="0F172A"/>
          <w:sz w:val="19"/>
        </w:rPr>
        <w:t>Bachelor of Engineering in Computer Engineering</w:t>
        <w:br/>
        <w:t>(Course: Cloud Computing / TE Computer Engineering)</w:t>
      </w:r>
    </w:p>
    <w:tbl>
      <w:tblPr>
        <w:tblW w:type="auto" w:w="0"/>
        <w:jc w:val="center"/>
        <w:tblLook w:firstColumn="1" w:firstRow="1" w:lastColumn="0" w:lastRow="0" w:noHBand="0" w:noVBand="1" w:val="04A0"/>
      </w:tblPr>
      <w:tblGrid>
        <w:gridCol w:w="4680"/>
        <w:gridCol w:w="4680"/>
      </w:tblGrid>
      <w:tr>
        <w:tc>
          <w:tcPr>
            <w:tcW w:type="dxa" w:w="4608"/>
            <w:tcMar>
              <w:top w:w="0" w:type="dxa"/>
              <w:bottom w:w="0" w:type="dxa"/>
              <w:left w:w="0" w:type="dxa"/>
              <w:right w:w="0" w:type="dxa"/>
            </w:tcMar>
          </w:tcPr>
          <w:p>
            <w:pPr>
              <w:spacing w:line="276" w:lineRule="auto"/>
            </w:pPr>
            <w:r>
              <w:rPr>
                <w:b/>
                <w:color w:val="0F172A"/>
                <w:sz w:val="18"/>
              </w:rPr>
              <w:t>SUBMITTED BY:</w:t>
              <w:br/>
            </w:r>
            <w:r>
              <w:rPr>
                <w:sz w:val="17"/>
              </w:rPr>
              <w:t>[INSERT ALL FOUR STUDENTS’ NAMES AND ROLL NUMBERS]</w:t>
              <w:br/>
              <w:t>• Student Name 1 (Roll No: [ROLL_1])</w:t>
              <w:br/>
              <w:t>• Student Name 2 (Roll No: [ROLL_2])</w:t>
              <w:br/>
              <w:t>• Student Name 3 (Roll No: [ROLL_3])</w:t>
              <w:br/>
              <w:t>• Student Name 4 (Roll No: [ROLL_4])</w:t>
            </w:r>
          </w:p>
        </w:tc>
        <w:tc>
          <w:tcPr>
            <w:tcW w:type="dxa" w:w="4608"/>
            <w:tcMar>
              <w:top w:w="0" w:type="dxa"/>
              <w:bottom w:w="0" w:type="dxa"/>
              <w:left w:w="0" w:type="dxa"/>
              <w:right w:w="0" w:type="dxa"/>
            </w:tcMar>
          </w:tcPr>
          <w:p>
            <w:pPr>
              <w:spacing w:line="276" w:lineRule="auto"/>
            </w:pPr>
            <w:r>
              <w:rPr>
                <w:b/>
                <w:color w:val="0F172A"/>
                <w:sz w:val="18"/>
              </w:rPr>
              <w:t>UNDER THE GUIDANCE OF:</w:t>
              <w:br/>
            </w:r>
            <w:r>
              <w:rPr>
                <w:sz w:val="17"/>
              </w:rPr>
              <w:t>[INSERT GUIDE NAME AND DESIGNATION]</w:t>
              <w:br/>
              <w:t>Project Guide &amp; Subject In-Charge</w:t>
              <w:br/>
              <w:br/>
              <w:t>[INSERT ADDITIONAL GUIDE / AMC]</w:t>
              <w:br/>
              <w:t>Additional Guide / AMC</w:t>
              <w:br/>
              <w:br/>
              <w:t>Dr. [INSERT HOD NAME]</w:t>
              <w:br/>
              <w:t>Head of Department (Computer Engg)</w:t>
            </w:r>
          </w:p>
        </w:tc>
      </w:tr>
    </w:tbl>
    <w:p>
      <w:pPr>
        <w:spacing w:before="640" w:after="0"/>
        <w:jc w:val="center"/>
      </w:pPr>
      <w:r>
        <w:rPr>
          <w:rFonts w:ascii="Calibri" w:hAnsi="Calibri"/>
          <w:b/>
          <w:color w:val="0F172A"/>
          <w:sz w:val="18"/>
        </w:rPr>
        <w:t>DEPARTMENT OF COMPUTER ENGINEERING</w:t>
        <w:br/>
        <w:t>[INSERT COLLEGE NAME], [INSERT LOCATION] – [PINCODE]</w:t>
        <w:br/>
        <w:t>[INSERT ACADEMIC YEAR]</w:t>
      </w:r>
    </w:p>
    <w:p>
      <w:r>
        <w:br w:type="page"/>
      </w:r>
    </w:p>
    <w:p>
      <w:pPr>
        <w:spacing w:before="200" w:after="40"/>
        <w:jc w:val="center"/>
      </w:pPr>
      <w:r>
        <w:rPr>
          <w:rFonts w:ascii="Calibri" w:hAnsi="Calibri"/>
          <w:b/>
          <w:color w:val="0F172A"/>
          <w:sz w:val="26"/>
        </w:rPr>
        <w:t>[INSERT COLLEGE NAME]</w:t>
        <w:br/>
      </w:r>
      <w:r>
        <w:rPr>
          <w:rFonts w:ascii="Calibri" w:hAnsi="Calibri"/>
          <w:b/>
          <w:color w:val="1E3A8A"/>
          <w:sz w:val="22"/>
        </w:rPr>
        <w:t>DEPARTMENT OF COMPUTER ENGINEERING</w:t>
      </w:r>
    </w:p>
    <w:p>
      <w:pPr>
        <w:spacing w:before="280" w:after="280"/>
        <w:jc w:val="center"/>
      </w:pPr>
      <w:r>
        <w:rPr>
          <w:rFonts w:ascii="Calibri" w:hAnsi="Calibri"/>
          <w:b/>
          <w:color w:val="0F172A"/>
          <w:sz w:val="30"/>
        </w:rPr>
        <w:t>CERTIFICATE</w:t>
      </w:r>
    </w:p>
    <w:p>
      <w:pPr>
        <w:spacing w:before="0" w:after="120" w:line="269" w:lineRule="auto"/>
        <w:jc w:val="both"/>
      </w:pPr>
      <w:r>
        <w:rPr>
          <w:rFonts w:ascii="Calibri" w:hAnsi="Calibri"/>
          <w:color w:val="1F2937"/>
          <w:sz w:val="20"/>
        </w:rPr>
        <w:t>This is to certify that the mini-project report entitled "Authenticated File Encryption System: A Secure Cloud Storage Architecture with AES-256-GCM, Envelope Key Management, and Pluggable S3 Integration" has been successfully completed by the following students of Third Year Computer Engineering in partial fulfillment of the requirements for the Degree of Bachelor of Engineering in Computer Engineering of [INSERT UNIVERSITY NAME] during the academic year [INSERT ACADEMIC YEAR]:</w:t>
      </w:r>
    </w:p>
    <w:p>
      <w:pPr>
        <w:spacing w:before="40" w:after="160" w:line="269" w:lineRule="auto"/>
        <w:jc w:val="both"/>
      </w:pPr>
      <w:r>
        <w:rPr>
          <w:rFonts w:ascii="Calibri" w:hAnsi="Calibri"/>
          <w:color w:val="1F2937"/>
          <w:sz w:val="20"/>
        </w:rPr>
        <w:t>1. Student Name 1 (Roll No: [ROLL_1])</w:t>
        <w:br/>
        <w:t>2. Student Name 2 (Roll No: [ROLL_2])</w:t>
        <w:br/>
        <w:t>3. Student Name 3 (Roll No: [ROLL_3])</w:t>
        <w:br/>
        <w:t>4. Student Name 4 (Roll No: [ROLL_4])</w:t>
      </w:r>
    </w:p>
    <w:p>
      <w:pPr>
        <w:spacing w:before="0" w:after="520" w:line="269" w:lineRule="auto"/>
        <w:jc w:val="both"/>
      </w:pPr>
      <w:r>
        <w:rPr>
          <w:rFonts w:ascii="Calibri" w:hAnsi="Calibri"/>
          <w:color w:val="1F2937"/>
          <w:sz w:val="20"/>
        </w:rPr>
        <w:t>The project work has been carried out under our supervision and guidance. It is further certified that this report represents genuine academic and engineering work carried out on the actual system implementation, adhering strictly to institutional and university guidelines.</w:t>
      </w:r>
    </w:p>
    <w:tbl>
      <w:tblPr>
        <w:tblW w:type="auto" w:w="0"/>
        <w:jc w:val="center"/>
        <w:tblLook w:firstColumn="1" w:firstRow="1" w:lastColumn="0" w:lastRow="0" w:noHBand="0" w:noVBand="1" w:val="04A0"/>
      </w:tblPr>
      <w:tblGrid>
        <w:gridCol w:w="3120"/>
        <w:gridCol w:w="3120"/>
        <w:gridCol w:w="3120"/>
      </w:tblGrid>
      <w:tr>
        <w:tc>
          <w:tcPr>
            <w:tcW w:type="dxa" w:w="3067"/>
            <w:tcMar>
              <w:top w:w="0" w:type="dxa"/>
              <w:bottom w:w="0" w:type="dxa"/>
              <w:left w:w="0" w:type="dxa"/>
              <w:right w:w="0" w:type="dxa"/>
            </w:tcMar>
          </w:tcPr>
          <w:p>
            <w:pPr>
              <w:jc w:val="center"/>
            </w:pPr>
            <w:r>
              <w:rPr>
                <w:sz w:val="17"/>
              </w:rPr>
              <w:t>_____________________</w:t>
              <w:br/>
              <w:t>[INSERT GUIDE NAME]</w:t>
              <w:br/>
              <w:t>Project Guide &amp; In-Charge</w:t>
            </w:r>
          </w:p>
        </w:tc>
        <w:tc>
          <w:tcPr>
            <w:tcW w:type="dxa" w:w="3067"/>
            <w:tcMar>
              <w:top w:w="0" w:type="dxa"/>
              <w:bottom w:w="0" w:type="dxa"/>
              <w:left w:w="0" w:type="dxa"/>
              <w:right w:w="0" w:type="dxa"/>
            </w:tcMar>
          </w:tcPr>
          <w:p>
            <w:pPr>
              <w:jc w:val="center"/>
            </w:pPr>
            <w:r>
              <w:rPr>
                <w:sz w:val="17"/>
              </w:rPr>
              <w:t>_____________________</w:t>
              <w:br/>
              <w:t>[INSERT ADDITIONAL GUIDE]</w:t>
              <w:br/>
              <w:t>Additional Guide / AMC</w:t>
            </w:r>
          </w:p>
        </w:tc>
        <w:tc>
          <w:tcPr>
            <w:tcW w:type="dxa" w:w="3067"/>
            <w:tcMar>
              <w:top w:w="0" w:type="dxa"/>
              <w:bottom w:w="0" w:type="dxa"/>
              <w:left w:w="0" w:type="dxa"/>
              <w:right w:w="0" w:type="dxa"/>
            </w:tcMar>
          </w:tcPr>
          <w:p>
            <w:pPr>
              <w:jc w:val="center"/>
            </w:pPr>
            <w:r>
              <w:rPr>
                <w:sz w:val="17"/>
              </w:rPr>
              <w:t>_____________________</w:t>
              <w:br/>
              <w:t>Dr. [INSERT HOD NAME]</w:t>
              <w:br/>
              <w:t>Head of Department</w:t>
            </w:r>
          </w:p>
        </w:tc>
      </w:tr>
    </w:tbl>
    <w:p>
      <w:pPr>
        <w:spacing w:before="480" w:after="0"/>
      </w:pPr>
    </w:p>
    <w:tbl>
      <w:tblPr>
        <w:tblW w:type="auto" w:w="0"/>
        <w:jc w:val="center"/>
        <w:tblLook w:firstColumn="1" w:firstRow="1" w:lastColumn="0" w:lastRow="0" w:noHBand="0" w:noVBand="1" w:val="04A0"/>
      </w:tblPr>
      <w:tblGrid>
        <w:gridCol w:w="3120"/>
        <w:gridCol w:w="3120"/>
        <w:gridCol w:w="3120"/>
      </w:tblGrid>
      <w:tr>
        <w:tc>
          <w:tcPr>
            <w:tcW w:type="dxa" w:w="3067"/>
            <w:tcMar>
              <w:top w:w="0" w:type="dxa"/>
              <w:bottom w:w="0" w:type="dxa"/>
              <w:left w:w="0" w:type="dxa"/>
              <w:right w:w="0" w:type="dxa"/>
            </w:tcMar>
          </w:tcPr>
          <w:p>
            <w:pPr>
              <w:jc w:val="center"/>
            </w:pPr>
            <w:r>
              <w:rPr>
                <w:sz w:val="17"/>
              </w:rPr>
              <w:t>_____________________</w:t>
              <w:br/>
              <w:t>Internal Examiner</w:t>
              <w:br/>
              <w:t>[INSERT COLLEGE NAME]</w:t>
            </w:r>
          </w:p>
        </w:tc>
        <w:tc>
          <w:tcPr>
            <w:tcW w:type="dxa" w:w="3067"/>
            <w:tcMar>
              <w:top w:w="0" w:type="dxa"/>
              <w:bottom w:w="0" w:type="dxa"/>
              <w:left w:w="0" w:type="dxa"/>
              <w:right w:w="0" w:type="dxa"/>
            </w:tcMar>
          </w:tcPr>
          <w:p>
            <w:pPr>
              <w:jc w:val="center"/>
            </w:pPr>
            <w:r>
              <w:rPr>
                <w:sz w:val="17"/>
              </w:rPr>
              <w:t>_____________________</w:t>
              <w:br/>
              <w:t>External Examiner</w:t>
              <w:br/>
              <w:t>[INSERT UNIVERSITY NAME]</w:t>
            </w:r>
          </w:p>
        </w:tc>
        <w:tc>
          <w:tcPr>
            <w:tcW w:type="dxa" w:w="3067"/>
            <w:tcMar>
              <w:top w:w="0" w:type="dxa"/>
              <w:bottom w:w="0" w:type="dxa"/>
              <w:left w:w="0" w:type="dxa"/>
              <w:right w:w="0" w:type="dxa"/>
            </w:tcMar>
          </w:tcPr>
          <w:p>
            <w:pPr>
              <w:jc w:val="center"/>
            </w:pPr>
            <w:r>
              <w:rPr>
                <w:sz w:val="17"/>
              </w:rPr>
              <w:t>_____________________</w:t>
              <w:br/>
              <w:t>Principal</w:t>
              <w:br/>
              <w:t>[INSERT COLLEGE NAME]</w:t>
            </w:r>
          </w:p>
        </w:tc>
      </w:tr>
    </w:tbl>
    <w:p>
      <w:r>
        <w:br w:type="page"/>
      </w:r>
    </w:p>
    <w:p>
      <w:pPr>
        <w:spacing w:before="240" w:after="240"/>
        <w:jc w:val="center"/>
      </w:pPr>
      <w:r>
        <w:rPr>
          <w:rFonts w:ascii="Calibri" w:hAnsi="Calibri"/>
          <w:b/>
          <w:color w:val="0F172A"/>
          <w:sz w:val="30"/>
        </w:rPr>
        <w:t>ACKNOWLEDGEMENT</w:t>
      </w:r>
    </w:p>
    <w:p>
      <w:pPr>
        <w:spacing w:before="0" w:after="160" w:line="269" w:lineRule="auto"/>
        <w:jc w:val="both"/>
      </w:pPr>
      <w:r>
        <w:rPr>
          <w:rFonts w:ascii="Calibri" w:hAnsi="Calibri"/>
          <w:color w:val="1F2937"/>
          <w:sz w:val="20"/>
        </w:rPr>
        <w:t>We express our deepest gratitude to our esteemed Project Guide, [INSERT GUIDE NAME AND DESIGNATION], Department of Computer Engineering, for her invaluable guidance, constructive criticism, and continuous mentorship throughout the conception, design, and implementation of the Authenticated File Encryption System (AFES). Her technical insights into cloud architecture, cryptographic primitives, and secure engineering practices greatly enriched this project.</w:t>
      </w:r>
    </w:p>
    <w:p>
      <w:pPr>
        <w:spacing w:before="0" w:after="160" w:line="269" w:lineRule="auto"/>
        <w:jc w:val="both"/>
      </w:pPr>
      <w:r>
        <w:rPr>
          <w:rFonts w:ascii="Calibri" w:hAnsi="Calibri"/>
          <w:color w:val="1F2937"/>
          <w:sz w:val="20"/>
        </w:rPr>
        <w:t>We are equally thankful to our Additional Guide and Academic Monitoring Committee member, [INSERT ADDITIONAL GUIDE / AMC], for his methodical reviews, architectural recommendations, and constructive feedback across every evaluation milestone of this engineering work.</w:t>
      </w:r>
    </w:p>
    <w:p>
      <w:pPr>
        <w:spacing w:before="0" w:after="160" w:line="269" w:lineRule="auto"/>
        <w:jc w:val="both"/>
      </w:pPr>
      <w:r>
        <w:rPr>
          <w:rFonts w:ascii="Calibri" w:hAnsi="Calibri"/>
          <w:color w:val="1F2937"/>
          <w:sz w:val="20"/>
        </w:rPr>
        <w:t>We extend our sincere appreciation to Dr. [INSERT HOD NAME], Head of the Department of Computer Engineering, for providing modern laboratory infrastructure, computing facilities, and an encouraging academic environment essential for developing cloud-native applications.</w:t>
      </w:r>
    </w:p>
    <w:p>
      <w:pPr>
        <w:spacing w:before="0" w:after="160" w:line="269" w:lineRule="auto"/>
        <w:jc w:val="both"/>
      </w:pPr>
      <w:r>
        <w:rPr>
          <w:rFonts w:ascii="Calibri" w:hAnsi="Calibri"/>
          <w:color w:val="1F2937"/>
          <w:sz w:val="20"/>
        </w:rPr>
        <w:t>We also convey our respectful gratitude to the Principal and Management of [INSERT COLLEGE NAME] for fostering an environment of technical innovation and granting us the platform to undertake this advanced information security initiative.</w:t>
      </w:r>
    </w:p>
    <w:p>
      <w:pPr>
        <w:spacing w:before="0" w:after="440" w:line="269" w:lineRule="auto"/>
        <w:jc w:val="both"/>
      </w:pPr>
      <w:r>
        <w:rPr>
          <w:rFonts w:ascii="Calibri" w:hAnsi="Calibri"/>
          <w:color w:val="1F2937"/>
          <w:sz w:val="20"/>
        </w:rPr>
        <w:t>Finally, we thank the faculty members, laboratory staff, our families, and fellow peers whose collective goodwill, advice, and assistance contributed to the successful completion of this mini-project report.</w:t>
      </w:r>
    </w:p>
    <w:p>
      <w:pPr>
        <w:spacing w:line="276" w:lineRule="auto"/>
        <w:jc w:val="right"/>
      </w:pPr>
      <w:r>
        <w:rPr>
          <w:color w:val="1F2937"/>
          <w:sz w:val="17"/>
        </w:rPr>
        <w:t>Student Name 1 (Roll No: [ROLL_1])</w:t>
        <w:br/>
        <w:t>Student Name 2 (Roll No: [ROLL_2])</w:t>
        <w:br/>
        <w:t>Student Name 3 (Roll No: [ROLL_3])</w:t>
        <w:br/>
        <w:t>Student Name 4 (Roll No: [ROLL_4])</w:t>
        <w:br/>
        <w:t>Third Year Computer Engineering</w:t>
        <w:br/>
        <w:t>[INSERT COLLEGE NAME]</w:t>
      </w:r>
    </w:p>
    <w:p>
      <w:r>
        <w:br w:type="page"/>
      </w:r>
    </w:p>
    <w:p>
      <w:pPr>
        <w:spacing w:before="240" w:after="240"/>
        <w:jc w:val="center"/>
      </w:pPr>
      <w:r>
        <w:rPr>
          <w:rFonts w:ascii="Calibri" w:hAnsi="Calibri"/>
          <w:b/>
          <w:color w:val="0F172A"/>
          <w:sz w:val="30"/>
        </w:rPr>
        <w:t>ABSTRACT</w:t>
      </w:r>
    </w:p>
    <w:p>
      <w:pPr>
        <w:spacing w:before="0" w:after="140" w:line="269" w:lineRule="auto"/>
        <w:jc w:val="both"/>
      </w:pPr>
      <w:r>
        <w:rPr>
          <w:rFonts w:ascii="Calibri" w:hAnsi="Calibri"/>
          <w:color w:val="1F2937"/>
          <w:sz w:val="20"/>
        </w:rPr>
        <w:t>As enterprise organizations and academic institutions increasingly migrate sensitive records to public cloud repositories, conventional perimeter defenses and vendor-managed encryption models prove insufficient to guarantee complete data confidentiality and integrity. Common vulnerabilities—such as misconfigured storage bucket access policies, insider threats, compromised cloud credentials, and inadvertent data exposure—demonstrate that storing plaintext files directly in cloud object stores poses substantial security risks. This project presents the design, mathematical foundations, implementation, and rigorous verification of the Authenticated File Encryption System (AFES), an end-to-end cloud-oriented file security application engineered specifically for multi-tenant cloud environments.</w:t>
      </w:r>
    </w:p>
    <w:p>
      <w:pPr>
        <w:spacing w:before="0" w:after="140" w:line="269" w:lineRule="auto"/>
        <w:jc w:val="both"/>
      </w:pPr>
      <w:r>
        <w:rPr>
          <w:rFonts w:ascii="Calibri" w:hAnsi="Calibri"/>
          <w:color w:val="1F2937"/>
          <w:sz w:val="20"/>
        </w:rPr>
        <w:t>AFES enforces application-level cryptographic protection prior to persisting any payload into cloud object storage. User identity and credentials are secured via Argon2id, an OWASP-recommended memory-hard hashing function resistant to GPU-accelerated brute-force attacks. File contents undergo authenticated symmetric encryption using the Advanced Encryption Standard in Galois/Counter Mode (AES-256-GCM) with fresh, cryptographically secure 96-bit random nonces. To address scalable key lifecycle management, the architecture adopts envelope encryption: each file payload is encrypted with an ephemeral 256-bit Data Encryption Key (DEK), which is subsequently wrapped by a Master Key Encryption Key (KEK) designed for AWS Key Management Service (AWS KMS) integration. Furthermore, ownership attributes and normalized filenames are bound as Authenticated Additional Data (AAD), mathematically preventing unauthorized ciphertext re-binding or cross-user payload reuse.</w:t>
      </w:r>
    </w:p>
    <w:p>
      <w:pPr>
        <w:spacing w:before="0" w:after="240" w:line="269" w:lineRule="auto"/>
        <w:jc w:val="both"/>
      </w:pPr>
      <w:r>
        <w:rPr>
          <w:rFonts w:ascii="Calibri" w:hAnsi="Calibri"/>
          <w:color w:val="1F2937"/>
          <w:sz w:val="20"/>
        </w:rPr>
        <w:t>The storage subsystem implements an extensible cloud abstraction layer supporting production Amazon Web Services S3 (via Boto3 with private bucket policies and least-privilege IAM constraints) alongside local S3-compatible MinIO instances for offline academic demonstration. Multi-tenant access control is strictly enforced on the server, ensuring that tenant identity is derived solely from cryptographically signed JSON Web Tokens (JWT). The system persistently logs all authentication, cryptographic, and access events to a structured audit ledger without exposing sensitive credentials or keys. Rigorous verification across 33 automated tests and live end-to-end demonstrations proves 100% test pass rates, instantaneous rejection of tampered ciphertexts, complete isolation between tenant vaults, and seamless cloud object lifecycle management.</w:t>
      </w:r>
    </w:p>
    <w:p>
      <w:pPr>
        <w:jc w:val="both"/>
      </w:pPr>
      <w:r>
        <w:rPr>
          <w:b/>
          <w:color w:val="0F172A"/>
          <w:sz w:val="19"/>
        </w:rPr>
        <w:t xml:space="preserve">Keywords: </w:t>
      </w:r>
      <w:r>
        <w:rPr>
          <w:i/>
          <w:color w:val="1E3A8A"/>
          <w:sz w:val="19"/>
        </w:rPr>
        <w:t>Cloud Computing, Authenticated Encryption, AES-256-GCM, Argon2id, Envelope Encryption, Object Storage, AWS S3, MinIO, Access Control, Audit Telemetry.</w:t>
      </w:r>
    </w:p>
    <w:p>
      <w:r>
        <w:br w:type="page"/>
      </w:r>
    </w:p>
    <w:p>
      <w:pPr>
        <w:spacing w:before="200" w:after="160"/>
        <w:jc w:val="center"/>
      </w:pPr>
      <w:r>
        <w:rPr>
          <w:rFonts w:ascii="Calibri" w:hAnsi="Calibri"/>
          <w:b/>
          <w:color w:val="0F172A"/>
          <w:sz w:val="28"/>
        </w:rPr>
        <w:t>TABLE OF CONTENTS</w:t>
      </w:r>
    </w:p>
    <w:p>
      <w:pPr>
        <w:spacing w:before="20" w:after="20" w:line="240" w:lineRule="auto"/>
      </w:pPr>
      <w:r>
        <w:rPr>
          <w:rFonts w:ascii="Calibri" w:hAnsi="Calibri"/>
          <w:b/>
          <w:color w:val="0F172A"/>
          <w:sz w:val="17"/>
        </w:rPr>
        <w:t>Certificate</w:t>
      </w:r>
      <w:r>
        <w:rPr>
          <w:rFonts w:ascii="Calibri" w:hAnsi="Calibri"/>
          <w:color w:val="94A3B8"/>
          <w:sz w:val="15"/>
        </w:rPr>
        <w:t xml:space="preserve"> . . . . . . . . . . . . . . . . . . . . . . . . . . . . . . . . . . . . . . . . . . . . . . . . . . . . . . </w:t>
      </w:r>
      <w:r>
        <w:rPr>
          <w:rFonts w:ascii="Calibri" w:hAnsi="Calibri"/>
          <w:b/>
          <w:color w:val="1E3A8A"/>
          <w:sz w:val="17"/>
        </w:rPr>
        <w:t>ii</w:t>
      </w:r>
    </w:p>
    <w:p>
      <w:pPr>
        <w:spacing w:before="20" w:after="20" w:line="240" w:lineRule="auto"/>
      </w:pPr>
      <w:r>
        <w:rPr>
          <w:rFonts w:ascii="Calibri" w:hAnsi="Calibri"/>
          <w:b/>
          <w:color w:val="0F172A"/>
          <w:sz w:val="17"/>
        </w:rPr>
        <w:t>Acknowledgement</w:t>
      </w:r>
      <w:r>
        <w:rPr>
          <w:rFonts w:ascii="Calibri" w:hAnsi="Calibri"/>
          <w:color w:val="94A3B8"/>
          <w:sz w:val="15"/>
        </w:rPr>
        <w:t xml:space="preserve"> . . . . . . . . . . . . . . . . . . . . . . . . . . . . . . . . . . . . . . . . . . . . . . </w:t>
      </w:r>
      <w:r>
        <w:rPr>
          <w:rFonts w:ascii="Calibri" w:hAnsi="Calibri"/>
          <w:b/>
          <w:color w:val="1E3A8A"/>
          <w:sz w:val="17"/>
        </w:rPr>
        <w:t>iii</w:t>
      </w:r>
    </w:p>
    <w:p>
      <w:pPr>
        <w:spacing w:before="20" w:after="20" w:line="240" w:lineRule="auto"/>
      </w:pPr>
      <w:r>
        <w:rPr>
          <w:rFonts w:ascii="Calibri" w:hAnsi="Calibri"/>
          <w:b/>
          <w:color w:val="0F172A"/>
          <w:sz w:val="17"/>
        </w:rPr>
        <w:t>Abstract</w:t>
      </w:r>
      <w:r>
        <w:rPr>
          <w:rFonts w:ascii="Calibri" w:hAnsi="Calibri"/>
          <w:color w:val="94A3B8"/>
          <w:sz w:val="15"/>
        </w:rPr>
        <w:t xml:space="preserve"> . . . . . . . . . . . . . . . . . . . . . . . . . . . . . . . . . . . . . . . . . . . . . . . . . . . . . . . . . . . . </w:t>
      </w:r>
      <w:r>
        <w:rPr>
          <w:rFonts w:ascii="Calibri" w:hAnsi="Calibri"/>
          <w:b/>
          <w:color w:val="1E3A8A"/>
          <w:sz w:val="17"/>
        </w:rPr>
        <w:t>iv</w:t>
      </w:r>
    </w:p>
    <w:p>
      <w:pPr>
        <w:spacing w:before="20" w:after="20" w:line="240" w:lineRule="auto"/>
      </w:pPr>
      <w:r>
        <w:rPr>
          <w:rFonts w:ascii="Calibri" w:hAnsi="Calibri"/>
          <w:b/>
          <w:color w:val="0F172A"/>
          <w:sz w:val="17"/>
        </w:rPr>
        <w:t>List of Figures &amp; List of Tables</w:t>
      </w:r>
      <w:r>
        <w:rPr>
          <w:rFonts w:ascii="Calibri" w:hAnsi="Calibri"/>
          <w:color w:val="94A3B8"/>
          <w:sz w:val="15"/>
        </w:rPr>
        <w:t xml:space="preserve"> . . . . . . . . . . . . </w:t>
      </w:r>
      <w:r>
        <w:rPr>
          <w:rFonts w:ascii="Calibri" w:hAnsi="Calibri"/>
          <w:b/>
          <w:color w:val="1E3A8A"/>
          <w:sz w:val="17"/>
        </w:rPr>
        <w:t>vi</w:t>
      </w:r>
    </w:p>
    <w:p>
      <w:pPr>
        <w:spacing w:before="20" w:after="20" w:line="240" w:lineRule="auto"/>
      </w:pPr>
      <w:r>
        <w:rPr>
          <w:rFonts w:ascii="Calibri" w:hAnsi="Calibri"/>
          <w:b/>
          <w:color w:val="0F172A"/>
          <w:sz w:val="17"/>
        </w:rPr>
        <w:t>CHAPTER 1: INTRODUCTION</w:t>
      </w:r>
      <w:r>
        <w:rPr>
          <w:rFonts w:ascii="Calibri" w:hAnsi="Calibri"/>
          <w:color w:val="94A3B8"/>
          <w:sz w:val="15"/>
        </w:rPr>
        <w:t xml:space="preserve"> . . . . . . . . . . . . . . . . . . . . . . . . . . . . . . </w:t>
      </w:r>
      <w:r>
        <w:rPr>
          <w:rFonts w:ascii="Calibri" w:hAnsi="Calibri"/>
          <w:b/>
          <w:color w:val="1E3A8A"/>
          <w:sz w:val="17"/>
        </w:rPr>
        <w:t>1</w:t>
      </w:r>
    </w:p>
    <w:p>
      <w:pPr>
        <w:spacing w:before="4" w:after="4" w:line="240" w:lineRule="auto"/>
      </w:pPr>
      <w:r>
        <w:rPr>
          <w:rFonts w:ascii="Calibri" w:hAnsi="Calibri"/>
          <w:b w:val="0"/>
          <w:color w:val="1F2937"/>
          <w:sz w:val="16"/>
        </w:rPr>
        <w:t xml:space="preserve">  1.1 Background &amp; Motivation</w:t>
      </w:r>
      <w:r>
        <w:rPr>
          <w:rFonts w:ascii="Calibri" w:hAnsi="Calibri"/>
          <w:color w:val="94A3B8"/>
          <w:sz w:val="15"/>
        </w:rPr>
        <w:t xml:space="preserve"> . . . . . . . . . . . . . . . . . . </w:t>
      </w:r>
      <w:r>
        <w:rPr>
          <w:rFonts w:ascii="Calibri" w:hAnsi="Calibri"/>
          <w:b w:val="0"/>
          <w:color w:val="1F2937"/>
          <w:sz w:val="16"/>
        </w:rPr>
        <w:t>1</w:t>
      </w:r>
    </w:p>
    <w:p>
      <w:pPr>
        <w:spacing w:before="4" w:after="4" w:line="240" w:lineRule="auto"/>
      </w:pPr>
      <w:r>
        <w:rPr>
          <w:rFonts w:ascii="Calibri" w:hAnsi="Calibri"/>
          <w:b w:val="0"/>
          <w:color w:val="1F2937"/>
          <w:sz w:val="16"/>
        </w:rPr>
        <w:t xml:space="preserve">  1.2 Problem Statement</w:t>
      </w:r>
      <w:r>
        <w:rPr>
          <w:rFonts w:ascii="Calibri" w:hAnsi="Calibri"/>
          <w:color w:val="94A3B8"/>
          <w:sz w:val="15"/>
        </w:rPr>
        <w:t xml:space="preserve"> . . . . . . . . . . . . . . . . . . . . . . . . . . . . . . </w:t>
      </w:r>
      <w:r>
        <w:rPr>
          <w:rFonts w:ascii="Calibri" w:hAnsi="Calibri"/>
          <w:b w:val="0"/>
          <w:color w:val="1F2937"/>
          <w:sz w:val="16"/>
        </w:rPr>
        <w:t>1</w:t>
      </w:r>
    </w:p>
    <w:p>
      <w:pPr>
        <w:spacing w:before="4" w:after="4" w:line="240" w:lineRule="auto"/>
      </w:pPr>
      <w:r>
        <w:rPr>
          <w:rFonts w:ascii="Calibri" w:hAnsi="Calibri"/>
          <w:b w:val="0"/>
          <w:color w:val="1F2937"/>
          <w:sz w:val="16"/>
        </w:rPr>
        <w:t xml:space="preserve">  1.3 Objectives of the Project</w:t>
      </w:r>
      <w:r>
        <w:rPr>
          <w:rFonts w:ascii="Calibri" w:hAnsi="Calibri"/>
          <w:color w:val="94A3B8"/>
          <w:sz w:val="15"/>
        </w:rPr>
        <w:t xml:space="preserve"> . . . . . . . . . . . . . . </w:t>
      </w:r>
      <w:r>
        <w:rPr>
          <w:rFonts w:ascii="Calibri" w:hAnsi="Calibri"/>
          <w:b w:val="0"/>
          <w:color w:val="1F2937"/>
          <w:sz w:val="16"/>
        </w:rPr>
        <w:t>2</w:t>
      </w:r>
    </w:p>
    <w:p>
      <w:pPr>
        <w:spacing w:before="4" w:after="4" w:line="240" w:lineRule="auto"/>
      </w:pPr>
      <w:r>
        <w:rPr>
          <w:rFonts w:ascii="Calibri" w:hAnsi="Calibri"/>
          <w:b w:val="0"/>
          <w:color w:val="1F2937"/>
          <w:sz w:val="16"/>
        </w:rPr>
        <w:t xml:space="preserve">  1.4 Scope &amp; Limitations</w:t>
      </w:r>
      <w:r>
        <w:rPr>
          <w:rFonts w:ascii="Calibri" w:hAnsi="Calibri"/>
          <w:color w:val="94A3B8"/>
          <w:sz w:val="15"/>
        </w:rPr>
        <w:t xml:space="preserve"> . . . . . . . . . . . . . . . . . . . . . . . . . . </w:t>
      </w:r>
      <w:r>
        <w:rPr>
          <w:rFonts w:ascii="Calibri" w:hAnsi="Calibri"/>
          <w:b w:val="0"/>
          <w:color w:val="1F2937"/>
          <w:sz w:val="16"/>
        </w:rPr>
        <w:t>2</w:t>
      </w:r>
    </w:p>
    <w:p>
      <w:pPr>
        <w:spacing w:before="4" w:after="4" w:line="240" w:lineRule="auto"/>
      </w:pPr>
      <w:r>
        <w:rPr>
          <w:rFonts w:ascii="Calibri" w:hAnsi="Calibri"/>
          <w:b w:val="0"/>
          <w:color w:val="1F2937"/>
          <w:sz w:val="16"/>
        </w:rPr>
        <w:t xml:space="preserve">  1.5 System Classification &amp; Cloud Computing Model</w:t>
      </w:r>
      <w:r>
        <w:rPr>
          <w:rFonts w:ascii="Calibri" w:hAnsi="Calibri"/>
          <w:color w:val="94A3B8"/>
          <w:sz w:val="15"/>
        </w:rPr>
        <w:t xml:space="preserve"> . . . </w:t>
      </w:r>
      <w:r>
        <w:rPr>
          <w:rFonts w:ascii="Calibri" w:hAnsi="Calibri"/>
          <w:b w:val="0"/>
          <w:color w:val="1F2937"/>
          <w:sz w:val="16"/>
        </w:rPr>
        <w:t>2</w:t>
      </w:r>
    </w:p>
    <w:p>
      <w:pPr>
        <w:spacing w:before="4" w:after="4" w:line="240" w:lineRule="auto"/>
      </w:pPr>
      <w:r>
        <w:rPr>
          <w:rFonts w:ascii="Calibri" w:hAnsi="Calibri"/>
          <w:b w:val="0"/>
          <w:color w:val="1F2937"/>
          <w:sz w:val="16"/>
        </w:rPr>
        <w:t xml:space="preserve">  1.6 Report Organization</w:t>
      </w:r>
      <w:r>
        <w:rPr>
          <w:rFonts w:ascii="Calibri" w:hAnsi="Calibri"/>
          <w:color w:val="94A3B8"/>
          <w:sz w:val="15"/>
        </w:rPr>
        <w:t xml:space="preserve"> . . . . . . . . . . . . . . . . . . . . . . . . . . </w:t>
      </w:r>
      <w:r>
        <w:rPr>
          <w:rFonts w:ascii="Calibri" w:hAnsi="Calibri"/>
          <w:b w:val="0"/>
          <w:color w:val="1F2937"/>
          <w:sz w:val="16"/>
        </w:rPr>
        <w:t>2</w:t>
      </w:r>
    </w:p>
    <w:p>
      <w:pPr>
        <w:spacing w:before="20" w:after="20" w:line="240" w:lineRule="auto"/>
      </w:pPr>
      <w:r>
        <w:rPr>
          <w:rFonts w:ascii="Calibri" w:hAnsi="Calibri"/>
          <w:b/>
          <w:color w:val="0F172A"/>
          <w:sz w:val="17"/>
        </w:rPr>
        <w:t>CHAPTER 2: LITERATURE SURVEY &amp; RELATED WORK</w:t>
      </w:r>
      <w:r>
        <w:rPr>
          <w:rFonts w:ascii="Calibri" w:hAnsi="Calibri"/>
          <w:color w:val="94A3B8"/>
          <w:sz w:val="15"/>
        </w:rPr>
        <w:t xml:space="preserve"> . . . </w:t>
      </w:r>
      <w:r>
        <w:rPr>
          <w:rFonts w:ascii="Calibri" w:hAnsi="Calibri"/>
          <w:b/>
          <w:color w:val="1E3A8A"/>
          <w:sz w:val="17"/>
        </w:rPr>
        <w:t>3</w:t>
      </w:r>
    </w:p>
    <w:p>
      <w:pPr>
        <w:spacing w:before="4" w:after="4" w:line="240" w:lineRule="auto"/>
      </w:pPr>
      <w:r>
        <w:rPr>
          <w:rFonts w:ascii="Calibri" w:hAnsi="Calibri"/>
          <w:b w:val="0"/>
          <w:color w:val="1F2937"/>
          <w:sz w:val="16"/>
        </w:rPr>
        <w:t xml:space="preserve">  2.1 Traditional File Storage &amp; Cloud Storage Security</w:t>
      </w:r>
      <w:r>
        <w:rPr>
          <w:rFonts w:ascii="Calibri" w:hAnsi="Calibri"/>
          <w:color w:val="94A3B8"/>
          <w:sz w:val="15"/>
        </w:rPr>
        <w:t xml:space="preserve"> . . . </w:t>
      </w:r>
      <w:r>
        <w:rPr>
          <w:rFonts w:ascii="Calibri" w:hAnsi="Calibri"/>
          <w:b w:val="0"/>
          <w:color w:val="1F2937"/>
          <w:sz w:val="16"/>
        </w:rPr>
        <w:t>3</w:t>
      </w:r>
    </w:p>
    <w:p>
      <w:pPr>
        <w:spacing w:before="4" w:after="4" w:line="240" w:lineRule="auto"/>
      </w:pPr>
      <w:r>
        <w:rPr>
          <w:rFonts w:ascii="Calibri" w:hAnsi="Calibri"/>
          <w:b w:val="0"/>
          <w:color w:val="1F2937"/>
          <w:sz w:val="16"/>
        </w:rPr>
        <w:t xml:space="preserve">  2.2 Authentication &amp; Access Control</w:t>
      </w:r>
      <w:r>
        <w:rPr>
          <w:rFonts w:ascii="Calibri" w:hAnsi="Calibri"/>
          <w:color w:val="94A3B8"/>
          <w:sz w:val="15"/>
        </w:rPr>
        <w:t xml:space="preserve"> . . . </w:t>
      </w:r>
      <w:r>
        <w:rPr>
          <w:rFonts w:ascii="Calibri" w:hAnsi="Calibri"/>
          <w:b w:val="0"/>
          <w:color w:val="1F2937"/>
          <w:sz w:val="16"/>
        </w:rPr>
        <w:t>3</w:t>
      </w:r>
    </w:p>
    <w:p>
      <w:pPr>
        <w:spacing w:before="4" w:after="4" w:line="240" w:lineRule="auto"/>
      </w:pPr>
      <w:r>
        <w:rPr>
          <w:rFonts w:ascii="Calibri" w:hAnsi="Calibri"/>
          <w:b w:val="0"/>
          <w:color w:val="1F2937"/>
          <w:sz w:val="16"/>
        </w:rPr>
        <w:t xml:space="preserve">  2.3 Cryptographic File Protection &amp; Authenticated Encryption</w:t>
      </w:r>
      <w:r>
        <w:rPr>
          <w:rFonts w:ascii="Calibri" w:hAnsi="Calibri"/>
          <w:color w:val="94A3B8"/>
          <w:sz w:val="15"/>
        </w:rPr>
        <w:t xml:space="preserve"> . . . </w:t>
      </w:r>
      <w:r>
        <w:rPr>
          <w:rFonts w:ascii="Calibri" w:hAnsi="Calibri"/>
          <w:b w:val="0"/>
          <w:color w:val="1F2937"/>
          <w:sz w:val="16"/>
        </w:rPr>
        <w:t>3</w:t>
      </w:r>
    </w:p>
    <w:p>
      <w:pPr>
        <w:spacing w:before="4" w:after="4" w:line="240" w:lineRule="auto"/>
      </w:pPr>
      <w:r>
        <w:rPr>
          <w:rFonts w:ascii="Calibri" w:hAnsi="Calibri"/>
          <w:b w:val="0"/>
          <w:color w:val="1F2937"/>
          <w:sz w:val="16"/>
        </w:rPr>
        <w:t xml:space="preserve">  2.4 Cloud Key Management &amp; Secure Object Storage</w:t>
      </w:r>
      <w:r>
        <w:rPr>
          <w:rFonts w:ascii="Calibri" w:hAnsi="Calibri"/>
          <w:color w:val="94A3B8"/>
          <w:sz w:val="15"/>
        </w:rPr>
        <w:t xml:space="preserve"> . . . </w:t>
      </w:r>
      <w:r>
        <w:rPr>
          <w:rFonts w:ascii="Calibri" w:hAnsi="Calibri"/>
          <w:b w:val="0"/>
          <w:color w:val="1F2937"/>
          <w:sz w:val="16"/>
        </w:rPr>
        <w:t>4</w:t>
      </w:r>
    </w:p>
    <w:p>
      <w:pPr>
        <w:spacing w:before="4" w:after="4" w:line="240" w:lineRule="auto"/>
      </w:pPr>
      <w:r>
        <w:rPr>
          <w:rFonts w:ascii="Calibri" w:hAnsi="Calibri"/>
          <w:b w:val="0"/>
          <w:color w:val="1F2937"/>
          <w:sz w:val="16"/>
        </w:rPr>
        <w:t xml:space="preserve">  2.5 Comparative Gap Analysis &amp; Project Motivation</w:t>
      </w:r>
      <w:r>
        <w:rPr>
          <w:rFonts w:ascii="Calibri" w:hAnsi="Calibri"/>
          <w:color w:val="94A3B8"/>
          <w:sz w:val="15"/>
        </w:rPr>
        <w:t xml:space="preserve"> . . . </w:t>
      </w:r>
      <w:r>
        <w:rPr>
          <w:rFonts w:ascii="Calibri" w:hAnsi="Calibri"/>
          <w:b w:val="0"/>
          <w:color w:val="1F2937"/>
          <w:sz w:val="16"/>
        </w:rPr>
        <w:t>4</w:t>
      </w:r>
    </w:p>
    <w:p>
      <w:pPr>
        <w:spacing w:before="20" w:after="20" w:line="240" w:lineRule="auto"/>
      </w:pPr>
      <w:r>
        <w:rPr>
          <w:rFonts w:ascii="Calibri" w:hAnsi="Calibri"/>
          <w:b/>
          <w:color w:val="0F172A"/>
          <w:sz w:val="17"/>
        </w:rPr>
        <w:t>CHAPTER 3: SYSTEM ARCHITECTURE &amp; METHODOLOGY</w:t>
      </w:r>
      <w:r>
        <w:rPr>
          <w:rFonts w:ascii="Calibri" w:hAnsi="Calibri"/>
          <w:color w:val="94A3B8"/>
          <w:sz w:val="15"/>
        </w:rPr>
        <w:t xml:space="preserve"> . . . </w:t>
      </w:r>
      <w:r>
        <w:rPr>
          <w:rFonts w:ascii="Calibri" w:hAnsi="Calibri"/>
          <w:b/>
          <w:color w:val="1E3A8A"/>
          <w:sz w:val="17"/>
        </w:rPr>
        <w:t>5</w:t>
      </w:r>
    </w:p>
    <w:p>
      <w:pPr>
        <w:spacing w:before="4" w:after="4" w:line="240" w:lineRule="auto"/>
      </w:pPr>
      <w:r>
        <w:rPr>
          <w:rFonts w:ascii="Calibri" w:hAnsi="Calibri"/>
          <w:b w:val="0"/>
          <w:color w:val="1F2937"/>
          <w:sz w:val="16"/>
        </w:rPr>
        <w:t xml:space="preserve">  3.1 Overall Layered Architecture</w:t>
      </w:r>
      <w:r>
        <w:rPr>
          <w:rFonts w:ascii="Calibri" w:hAnsi="Calibri"/>
          <w:color w:val="94A3B8"/>
          <w:sz w:val="15"/>
        </w:rPr>
        <w:t xml:space="preserve"> . . . . . . . . </w:t>
      </w:r>
      <w:r>
        <w:rPr>
          <w:rFonts w:ascii="Calibri" w:hAnsi="Calibri"/>
          <w:b w:val="0"/>
          <w:color w:val="1F2937"/>
          <w:sz w:val="16"/>
        </w:rPr>
        <w:t>5</w:t>
      </w:r>
    </w:p>
    <w:p>
      <w:pPr>
        <w:spacing w:before="4" w:after="4" w:line="240" w:lineRule="auto"/>
      </w:pPr>
      <w:r>
        <w:rPr>
          <w:rFonts w:ascii="Calibri" w:hAnsi="Calibri"/>
          <w:b w:val="0"/>
          <w:color w:val="1F2937"/>
          <w:sz w:val="16"/>
        </w:rPr>
        <w:t xml:space="preserve">  3.2 Authentication &amp; Authorization Workflow</w:t>
      </w:r>
      <w:r>
        <w:rPr>
          <w:rFonts w:ascii="Calibri" w:hAnsi="Calibri"/>
          <w:color w:val="94A3B8"/>
          <w:sz w:val="15"/>
        </w:rPr>
        <w:t xml:space="preserve"> . . . </w:t>
      </w:r>
      <w:r>
        <w:rPr>
          <w:rFonts w:ascii="Calibri" w:hAnsi="Calibri"/>
          <w:b w:val="0"/>
          <w:color w:val="1F2937"/>
          <w:sz w:val="16"/>
        </w:rPr>
        <w:t>6</w:t>
      </w:r>
    </w:p>
    <w:p>
      <w:pPr>
        <w:spacing w:before="4" w:after="4" w:line="240" w:lineRule="auto"/>
      </w:pPr>
      <w:r>
        <w:rPr>
          <w:rFonts w:ascii="Calibri" w:hAnsi="Calibri"/>
          <w:b w:val="0"/>
          <w:color w:val="1F2937"/>
          <w:sz w:val="16"/>
        </w:rPr>
        <w:t xml:space="preserve">  3.3 File Encryption &amp; Decryption Methodology</w:t>
      </w:r>
      <w:r>
        <w:rPr>
          <w:rFonts w:ascii="Calibri" w:hAnsi="Calibri"/>
          <w:color w:val="94A3B8"/>
          <w:sz w:val="15"/>
        </w:rPr>
        <w:t xml:space="preserve"> . . . </w:t>
      </w:r>
      <w:r>
        <w:rPr>
          <w:rFonts w:ascii="Calibri" w:hAnsi="Calibri"/>
          <w:b w:val="0"/>
          <w:color w:val="1F2937"/>
          <w:sz w:val="16"/>
        </w:rPr>
        <w:t>6</w:t>
      </w:r>
    </w:p>
    <w:p>
      <w:pPr>
        <w:spacing w:before="4" w:after="4" w:line="240" w:lineRule="auto"/>
      </w:pPr>
      <w:r>
        <w:rPr>
          <w:rFonts w:ascii="Calibri" w:hAnsi="Calibri"/>
          <w:b w:val="0"/>
          <w:color w:val="1F2937"/>
          <w:sz w:val="16"/>
        </w:rPr>
        <w:t xml:space="preserve">  3.4 Cloud Object-Storage Integration (AWS S3 &amp; MinIO)</w:t>
      </w:r>
      <w:r>
        <w:rPr>
          <w:rFonts w:ascii="Calibri" w:hAnsi="Calibri"/>
          <w:color w:val="94A3B8"/>
          <w:sz w:val="15"/>
        </w:rPr>
        <w:t xml:space="preserve"> . . . </w:t>
      </w:r>
      <w:r>
        <w:rPr>
          <w:rFonts w:ascii="Calibri" w:hAnsi="Calibri"/>
          <w:b w:val="0"/>
          <w:color w:val="1F2937"/>
          <w:sz w:val="16"/>
        </w:rPr>
        <w:t>7</w:t>
      </w:r>
    </w:p>
    <w:p>
      <w:pPr>
        <w:spacing w:before="4" w:after="4" w:line="240" w:lineRule="auto"/>
      </w:pPr>
      <w:r>
        <w:rPr>
          <w:rFonts w:ascii="Calibri" w:hAnsi="Calibri"/>
          <w:b w:val="0"/>
          <w:color w:val="1F2937"/>
          <w:sz w:val="16"/>
        </w:rPr>
        <w:t xml:space="preserve">  3.5 Encryption Key Management &amp; Envelope Hierarchy</w:t>
      </w:r>
      <w:r>
        <w:rPr>
          <w:rFonts w:ascii="Calibri" w:hAnsi="Calibri"/>
          <w:color w:val="94A3B8"/>
          <w:sz w:val="15"/>
        </w:rPr>
        <w:t xml:space="preserve"> . . . </w:t>
      </w:r>
      <w:r>
        <w:rPr>
          <w:rFonts w:ascii="Calibri" w:hAnsi="Calibri"/>
          <w:b w:val="0"/>
          <w:color w:val="1F2937"/>
          <w:sz w:val="16"/>
        </w:rPr>
        <w:t>7</w:t>
      </w:r>
    </w:p>
    <w:p>
      <w:pPr>
        <w:spacing w:before="4" w:after="4" w:line="240" w:lineRule="auto"/>
      </w:pPr>
      <w:r>
        <w:rPr>
          <w:rFonts w:ascii="Calibri" w:hAnsi="Calibri"/>
          <w:b w:val="0"/>
          <w:color w:val="1F2937"/>
          <w:sz w:val="16"/>
        </w:rPr>
        <w:t xml:space="preserve">  3.6 Database Schema &amp; Audit Logging</w:t>
      </w:r>
      <w:r>
        <w:rPr>
          <w:rFonts w:ascii="Calibri" w:hAnsi="Calibri"/>
          <w:color w:val="94A3B8"/>
          <w:sz w:val="15"/>
        </w:rPr>
        <w:t xml:space="preserve"> . . . </w:t>
      </w:r>
      <w:r>
        <w:rPr>
          <w:rFonts w:ascii="Calibri" w:hAnsi="Calibri"/>
          <w:b w:val="0"/>
          <w:color w:val="1F2937"/>
          <w:sz w:val="16"/>
        </w:rPr>
        <w:t>8</w:t>
      </w:r>
    </w:p>
    <w:p>
      <w:pPr>
        <w:spacing w:before="4" w:after="4" w:line="240" w:lineRule="auto"/>
      </w:pPr>
      <w:r>
        <w:rPr>
          <w:rFonts w:ascii="Calibri" w:hAnsi="Calibri"/>
          <w:b w:val="0"/>
          <w:color w:val="1F2937"/>
          <w:sz w:val="16"/>
        </w:rPr>
        <w:t xml:space="preserve">  3.7 REST API Design &amp; Endpoint Specifications</w:t>
      </w:r>
      <w:r>
        <w:rPr>
          <w:rFonts w:ascii="Calibri" w:hAnsi="Calibri"/>
          <w:color w:val="94A3B8"/>
          <w:sz w:val="15"/>
        </w:rPr>
        <w:t xml:space="preserve"> . . . </w:t>
      </w:r>
      <w:r>
        <w:rPr>
          <w:rFonts w:ascii="Calibri" w:hAnsi="Calibri"/>
          <w:b w:val="0"/>
          <w:color w:val="1F2937"/>
          <w:sz w:val="16"/>
        </w:rPr>
        <w:t>8</w:t>
      </w:r>
    </w:p>
    <w:p>
      <w:pPr>
        <w:spacing w:before="4" w:after="4" w:line="240" w:lineRule="auto"/>
      </w:pPr>
      <w:r>
        <w:rPr>
          <w:rFonts w:ascii="Calibri" w:hAnsi="Calibri"/>
          <w:b w:val="0"/>
          <w:color w:val="1F2937"/>
          <w:sz w:val="16"/>
        </w:rPr>
        <w:t xml:space="preserve">  3.8 Security Controls &amp; Error Handling</w:t>
      </w:r>
      <w:r>
        <w:rPr>
          <w:rFonts w:ascii="Calibri" w:hAnsi="Calibri"/>
          <w:color w:val="94A3B8"/>
          <w:sz w:val="15"/>
        </w:rPr>
        <w:t xml:space="preserve"> . . . </w:t>
      </w:r>
      <w:r>
        <w:rPr>
          <w:rFonts w:ascii="Calibri" w:hAnsi="Calibri"/>
          <w:b w:val="0"/>
          <w:color w:val="1F2937"/>
          <w:sz w:val="16"/>
        </w:rPr>
        <w:t>8</w:t>
      </w:r>
    </w:p>
    <w:p>
      <w:pPr>
        <w:spacing w:before="20" w:after="20" w:line="240" w:lineRule="auto"/>
      </w:pPr>
      <w:r>
        <w:rPr>
          <w:rFonts w:ascii="Calibri" w:hAnsi="Calibri"/>
          <w:b/>
          <w:color w:val="0F172A"/>
          <w:sz w:val="17"/>
        </w:rPr>
        <w:t>CHAPTER 4: IMPLEMENTATION DETAILS &amp; CODE HIGHLIGHTS</w:t>
      </w:r>
      <w:r>
        <w:rPr>
          <w:rFonts w:ascii="Calibri" w:hAnsi="Calibri"/>
          <w:color w:val="94A3B8"/>
          <w:sz w:val="15"/>
        </w:rPr>
        <w:t xml:space="preserve"> . . . </w:t>
      </w:r>
      <w:r>
        <w:rPr>
          <w:rFonts w:ascii="Calibri" w:hAnsi="Calibri"/>
          <w:b/>
          <w:color w:val="1E3A8A"/>
          <w:sz w:val="17"/>
        </w:rPr>
        <w:t>9</w:t>
      </w:r>
    </w:p>
    <w:p>
      <w:pPr>
        <w:spacing w:before="4" w:after="4" w:line="240" w:lineRule="auto"/>
      </w:pPr>
      <w:r>
        <w:rPr>
          <w:rFonts w:ascii="Calibri" w:hAnsi="Calibri"/>
          <w:b w:val="0"/>
          <w:color w:val="1F2937"/>
          <w:sz w:val="16"/>
        </w:rPr>
        <w:t xml:space="preserve">  4.1 Backend Architecture (FastAPI, Python 3.12+, Pydantic v2)</w:t>
      </w:r>
      <w:r>
        <w:rPr>
          <w:rFonts w:ascii="Calibri" w:hAnsi="Calibri"/>
          <w:color w:val="94A3B8"/>
          <w:sz w:val="15"/>
        </w:rPr>
        <w:t xml:space="preserve"> . . . </w:t>
      </w:r>
      <w:r>
        <w:rPr>
          <w:rFonts w:ascii="Calibri" w:hAnsi="Calibri"/>
          <w:b w:val="0"/>
          <w:color w:val="1F2937"/>
          <w:sz w:val="16"/>
        </w:rPr>
        <w:t>9</w:t>
      </w:r>
    </w:p>
    <w:p>
      <w:pPr>
        <w:spacing w:before="4" w:after="4" w:line="240" w:lineRule="auto"/>
      </w:pPr>
      <w:r>
        <w:rPr>
          <w:rFonts w:ascii="Calibri" w:hAnsi="Calibri"/>
          <w:b w:val="0"/>
          <w:color w:val="1F2937"/>
          <w:sz w:val="16"/>
        </w:rPr>
        <w:t xml:space="preserve">  4.2 Authentication &amp; Access-Control Implementation</w:t>
      </w:r>
      <w:r>
        <w:rPr>
          <w:rFonts w:ascii="Calibri" w:hAnsi="Calibri"/>
          <w:color w:val="94A3B8"/>
          <w:sz w:val="15"/>
        </w:rPr>
        <w:t xml:space="preserve"> . . . </w:t>
      </w:r>
      <w:r>
        <w:rPr>
          <w:rFonts w:ascii="Calibri" w:hAnsi="Calibri"/>
          <w:b w:val="0"/>
          <w:color w:val="1F2937"/>
          <w:sz w:val="16"/>
        </w:rPr>
        <w:t>9</w:t>
      </w:r>
    </w:p>
    <w:p>
      <w:pPr>
        <w:spacing w:before="4" w:after="4" w:line="240" w:lineRule="auto"/>
      </w:pPr>
      <w:r>
        <w:rPr>
          <w:rFonts w:ascii="Calibri" w:hAnsi="Calibri"/>
          <w:b w:val="0"/>
          <w:color w:val="1F2937"/>
          <w:sz w:val="16"/>
        </w:rPr>
        <w:t xml:space="preserve">  4.3 AES-256-GCM Encryption &amp; Decryption Engine</w:t>
      </w:r>
      <w:r>
        <w:rPr>
          <w:rFonts w:ascii="Calibri" w:hAnsi="Calibri"/>
          <w:color w:val="94A3B8"/>
          <w:sz w:val="15"/>
        </w:rPr>
        <w:t xml:space="preserve"> . . . </w:t>
      </w:r>
      <w:r>
        <w:rPr>
          <w:rFonts w:ascii="Calibri" w:hAnsi="Calibri"/>
          <w:b w:val="0"/>
          <w:color w:val="1F2937"/>
          <w:sz w:val="16"/>
        </w:rPr>
        <w:t>10</w:t>
      </w:r>
    </w:p>
    <w:p>
      <w:pPr>
        <w:spacing w:before="4" w:after="4" w:line="240" w:lineRule="auto"/>
      </w:pPr>
      <w:r>
        <w:rPr>
          <w:rFonts w:ascii="Calibri" w:hAnsi="Calibri"/>
          <w:b w:val="0"/>
          <w:color w:val="1F2937"/>
          <w:sz w:val="16"/>
        </w:rPr>
        <w:t xml:space="preserve">  4.4 Pluggable Storage Factory &amp; S3 Provider Implementation</w:t>
      </w:r>
      <w:r>
        <w:rPr>
          <w:rFonts w:ascii="Calibri" w:hAnsi="Calibri"/>
          <w:color w:val="94A3B8"/>
          <w:sz w:val="15"/>
        </w:rPr>
        <w:t xml:space="preserve"> . . . </w:t>
      </w:r>
      <w:r>
        <w:rPr>
          <w:rFonts w:ascii="Calibri" w:hAnsi="Calibri"/>
          <w:b w:val="0"/>
          <w:color w:val="1F2937"/>
          <w:sz w:val="16"/>
        </w:rPr>
        <w:t>10</w:t>
      </w:r>
    </w:p>
    <w:p>
      <w:pPr>
        <w:spacing w:before="4" w:after="4" w:line="240" w:lineRule="auto"/>
      </w:pPr>
      <w:r>
        <w:rPr>
          <w:rFonts w:ascii="Calibri" w:hAnsi="Calibri"/>
          <w:b w:val="0"/>
          <w:color w:val="1F2937"/>
          <w:sz w:val="16"/>
        </w:rPr>
        <w:t xml:space="preserve">  4.5 Key Management, Database, and Audit Logging</w:t>
      </w:r>
      <w:r>
        <w:rPr>
          <w:rFonts w:ascii="Calibri" w:hAnsi="Calibri"/>
          <w:color w:val="94A3B8"/>
          <w:sz w:val="15"/>
        </w:rPr>
        <w:t xml:space="preserve"> . . . </w:t>
      </w:r>
      <w:r>
        <w:rPr>
          <w:rFonts w:ascii="Calibri" w:hAnsi="Calibri"/>
          <w:b w:val="0"/>
          <w:color w:val="1F2937"/>
          <w:sz w:val="16"/>
        </w:rPr>
        <w:t>11</w:t>
      </w:r>
    </w:p>
    <w:p>
      <w:pPr>
        <w:spacing w:before="4" w:after="4" w:line="240" w:lineRule="auto"/>
      </w:pPr>
      <w:r>
        <w:rPr>
          <w:rFonts w:ascii="Calibri" w:hAnsi="Calibri"/>
          <w:b w:val="0"/>
          <w:color w:val="1F2937"/>
          <w:sz w:val="16"/>
        </w:rPr>
        <w:t xml:space="preserve">  4.6 Frontend Architecture &amp; User Workflow (React 18, TypeScript)</w:t>
      </w:r>
      <w:r>
        <w:rPr>
          <w:rFonts w:ascii="Calibri" w:hAnsi="Calibri"/>
          <w:color w:val="94A3B8"/>
          <w:sz w:val="15"/>
        </w:rPr>
        <w:t xml:space="preserve"> . . . </w:t>
      </w:r>
      <w:r>
        <w:rPr>
          <w:rFonts w:ascii="Calibri" w:hAnsi="Calibri"/>
          <w:b w:val="0"/>
          <w:color w:val="1F2937"/>
          <w:sz w:val="16"/>
        </w:rPr>
        <w:t>11</w:t>
      </w:r>
    </w:p>
    <w:p>
      <w:pPr>
        <w:spacing w:before="20" w:after="20" w:line="240" w:lineRule="auto"/>
      </w:pPr>
      <w:r>
        <w:rPr>
          <w:rFonts w:ascii="Calibri" w:hAnsi="Calibri"/>
          <w:b/>
          <w:color w:val="0F172A"/>
          <w:sz w:val="17"/>
        </w:rPr>
        <w:t>CHAPTER 5: RESULTS, VERIFICATION &amp; EXPERIMENTAL ANALYSIS</w:t>
      </w:r>
      <w:r>
        <w:rPr>
          <w:rFonts w:ascii="Calibri" w:hAnsi="Calibri"/>
          <w:color w:val="94A3B8"/>
          <w:sz w:val="15"/>
        </w:rPr>
        <w:t xml:space="preserve"> . . . </w:t>
      </w:r>
      <w:r>
        <w:rPr>
          <w:rFonts w:ascii="Calibri" w:hAnsi="Calibri"/>
          <w:b/>
          <w:color w:val="1E3A8A"/>
          <w:sz w:val="17"/>
        </w:rPr>
        <w:t>11</w:t>
      </w:r>
    </w:p>
    <w:p>
      <w:pPr>
        <w:spacing w:before="4" w:after="4" w:line="240" w:lineRule="auto"/>
      </w:pPr>
      <w:r>
        <w:rPr>
          <w:rFonts w:ascii="Calibri" w:hAnsi="Calibri"/>
          <w:b w:val="0"/>
          <w:color w:val="1F2937"/>
          <w:sz w:val="16"/>
        </w:rPr>
        <w:t xml:space="preserve">  5.1 Verification Test Suite Overview (33 Passed Tests)</w:t>
      </w:r>
      <w:r>
        <w:rPr>
          <w:rFonts w:ascii="Calibri" w:hAnsi="Calibri"/>
          <w:color w:val="94A3B8"/>
          <w:sz w:val="15"/>
        </w:rPr>
        <w:t xml:space="preserve"> . . . </w:t>
      </w:r>
      <w:r>
        <w:rPr>
          <w:rFonts w:ascii="Calibri" w:hAnsi="Calibri"/>
          <w:b w:val="0"/>
          <w:color w:val="1F2937"/>
          <w:sz w:val="16"/>
        </w:rPr>
        <w:t>11</w:t>
      </w:r>
    </w:p>
    <w:p>
      <w:pPr>
        <w:spacing w:before="4" w:after="4" w:line="240" w:lineRule="auto"/>
      </w:pPr>
      <w:r>
        <w:rPr>
          <w:rFonts w:ascii="Calibri" w:hAnsi="Calibri"/>
          <w:b w:val="0"/>
          <w:color w:val="1F2937"/>
          <w:sz w:val="16"/>
        </w:rPr>
        <w:t xml:space="preserve">  5.2 End-to-End Live Demonstration Workflow</w:t>
      </w:r>
      <w:r>
        <w:rPr>
          <w:rFonts w:ascii="Calibri" w:hAnsi="Calibri"/>
          <w:color w:val="94A3B8"/>
          <w:sz w:val="15"/>
        </w:rPr>
        <w:t xml:space="preserve"> . . . </w:t>
      </w:r>
      <w:r>
        <w:rPr>
          <w:rFonts w:ascii="Calibri" w:hAnsi="Calibri"/>
          <w:b w:val="0"/>
          <w:color w:val="1F2937"/>
          <w:sz w:val="16"/>
        </w:rPr>
        <w:t>12</w:t>
      </w:r>
    </w:p>
    <w:p>
      <w:pPr>
        <w:spacing w:before="4" w:after="4" w:line="240" w:lineRule="auto"/>
      </w:pPr>
      <w:r>
        <w:rPr>
          <w:rFonts w:ascii="Calibri" w:hAnsi="Calibri"/>
          <w:b w:val="0"/>
          <w:color w:val="1F2937"/>
          <w:sz w:val="16"/>
        </w:rPr>
        <w:t xml:space="preserve">  5.3 Encryption &amp; Decryption Integrity Verification</w:t>
      </w:r>
      <w:r>
        <w:rPr>
          <w:rFonts w:ascii="Calibri" w:hAnsi="Calibri"/>
          <w:color w:val="94A3B8"/>
          <w:sz w:val="15"/>
        </w:rPr>
        <w:t xml:space="preserve"> . . . </w:t>
      </w:r>
      <w:r>
        <w:rPr>
          <w:rFonts w:ascii="Calibri" w:hAnsi="Calibri"/>
          <w:b w:val="0"/>
          <w:color w:val="1F2937"/>
          <w:sz w:val="16"/>
        </w:rPr>
        <w:t>12</w:t>
      </w:r>
    </w:p>
    <w:p>
      <w:pPr>
        <w:spacing w:before="4" w:after="4" w:line="240" w:lineRule="auto"/>
      </w:pPr>
      <w:r>
        <w:rPr>
          <w:rFonts w:ascii="Calibri" w:hAnsi="Calibri"/>
          <w:b w:val="0"/>
          <w:color w:val="1F2937"/>
          <w:sz w:val="16"/>
        </w:rPr>
        <w:t xml:space="preserve">  5.4 Authentication, Authorization &amp; Access Denial Tests</w:t>
      </w:r>
      <w:r>
        <w:rPr>
          <w:rFonts w:ascii="Calibri" w:hAnsi="Calibri"/>
          <w:color w:val="94A3B8"/>
          <w:sz w:val="15"/>
        </w:rPr>
        <w:t xml:space="preserve"> . . . </w:t>
      </w:r>
      <w:r>
        <w:rPr>
          <w:rFonts w:ascii="Calibri" w:hAnsi="Calibri"/>
          <w:b w:val="0"/>
          <w:color w:val="1F2937"/>
          <w:sz w:val="16"/>
        </w:rPr>
        <w:t>13</w:t>
      </w:r>
    </w:p>
    <w:p>
      <w:pPr>
        <w:spacing w:before="4" w:after="4" w:line="240" w:lineRule="auto"/>
      </w:pPr>
      <w:r>
        <w:rPr>
          <w:rFonts w:ascii="Calibri" w:hAnsi="Calibri"/>
          <w:b w:val="0"/>
          <w:color w:val="1F2937"/>
          <w:sz w:val="16"/>
        </w:rPr>
        <w:t xml:space="preserve">  5.5 Cloud Storage &amp; Error Handling Verification</w:t>
      </w:r>
      <w:r>
        <w:rPr>
          <w:rFonts w:ascii="Calibri" w:hAnsi="Calibri"/>
          <w:color w:val="94A3B8"/>
          <w:sz w:val="15"/>
        </w:rPr>
        <w:t xml:space="preserve"> . . . </w:t>
      </w:r>
      <w:r>
        <w:rPr>
          <w:rFonts w:ascii="Calibri" w:hAnsi="Calibri"/>
          <w:b w:val="0"/>
          <w:color w:val="1F2937"/>
          <w:sz w:val="16"/>
        </w:rPr>
        <w:t>13</w:t>
      </w:r>
    </w:p>
    <w:p>
      <w:pPr>
        <w:spacing w:before="4" w:after="4" w:line="240" w:lineRule="auto"/>
      </w:pPr>
      <w:r>
        <w:rPr>
          <w:rFonts w:ascii="Calibri" w:hAnsi="Calibri"/>
          <w:b w:val="0"/>
          <w:color w:val="1F2937"/>
          <w:sz w:val="16"/>
        </w:rPr>
        <w:t xml:space="preserve">  5.6 Limitations of the Evaluation</w:t>
      </w:r>
      <w:r>
        <w:rPr>
          <w:rFonts w:ascii="Calibri" w:hAnsi="Calibri"/>
          <w:color w:val="94A3B8"/>
          <w:sz w:val="15"/>
        </w:rPr>
        <w:t xml:space="preserve"> . . . . . . </w:t>
      </w:r>
      <w:r>
        <w:rPr>
          <w:rFonts w:ascii="Calibri" w:hAnsi="Calibri"/>
          <w:b w:val="0"/>
          <w:color w:val="1F2937"/>
          <w:sz w:val="16"/>
        </w:rPr>
        <w:t>13</w:t>
      </w:r>
    </w:p>
    <w:p>
      <w:pPr>
        <w:spacing w:before="20" w:after="20" w:line="240" w:lineRule="auto"/>
      </w:pPr>
      <w:r>
        <w:rPr>
          <w:rFonts w:ascii="Calibri" w:hAnsi="Calibri"/>
          <w:b/>
          <w:color w:val="0F172A"/>
          <w:sz w:val="17"/>
        </w:rPr>
        <w:t>CHAPTER 6: DISCUSSION &amp; SYSTEM EVALUATION</w:t>
      </w:r>
      <w:r>
        <w:rPr>
          <w:rFonts w:ascii="Calibri" w:hAnsi="Calibri"/>
          <w:color w:val="94A3B8"/>
          <w:sz w:val="15"/>
        </w:rPr>
        <w:t xml:space="preserve"> . . . </w:t>
      </w:r>
      <w:r>
        <w:rPr>
          <w:rFonts w:ascii="Calibri" w:hAnsi="Calibri"/>
          <w:b/>
          <w:color w:val="1E3A8A"/>
          <w:sz w:val="17"/>
        </w:rPr>
        <w:t>14</w:t>
      </w:r>
    </w:p>
    <w:p>
      <w:pPr>
        <w:spacing w:before="4" w:after="4" w:line="240" w:lineRule="auto"/>
      </w:pPr>
      <w:r>
        <w:rPr>
          <w:rFonts w:ascii="Calibri" w:hAnsi="Calibri"/>
          <w:b w:val="0"/>
          <w:color w:val="1F2937"/>
          <w:sz w:val="16"/>
        </w:rPr>
        <w:t xml:space="preserve">  6.1 Comparison with Conventional Storage &amp; Cloud SSE</w:t>
      </w:r>
      <w:r>
        <w:rPr>
          <w:rFonts w:ascii="Calibri" w:hAnsi="Calibri"/>
          <w:color w:val="94A3B8"/>
          <w:sz w:val="15"/>
        </w:rPr>
        <w:t xml:space="preserve"> . . . </w:t>
      </w:r>
      <w:r>
        <w:rPr>
          <w:rFonts w:ascii="Calibri" w:hAnsi="Calibri"/>
          <w:b w:val="0"/>
          <w:color w:val="1F2937"/>
          <w:sz w:val="16"/>
        </w:rPr>
        <w:t>14</w:t>
      </w:r>
    </w:p>
    <w:p>
      <w:pPr>
        <w:spacing w:before="4" w:after="4" w:line="240" w:lineRule="auto"/>
      </w:pPr>
      <w:r>
        <w:rPr>
          <w:rFonts w:ascii="Calibri" w:hAnsi="Calibri"/>
          <w:b w:val="0"/>
          <w:color w:val="1F2937"/>
          <w:sz w:val="16"/>
        </w:rPr>
        <w:t xml:space="preserve">  6.2 Security Benefits &amp; Threat Considerations</w:t>
      </w:r>
      <w:r>
        <w:rPr>
          <w:rFonts w:ascii="Calibri" w:hAnsi="Calibri"/>
          <w:color w:val="94A3B8"/>
          <w:sz w:val="15"/>
        </w:rPr>
        <w:t xml:space="preserve"> . . . </w:t>
      </w:r>
      <w:r>
        <w:rPr>
          <w:rFonts w:ascii="Calibri" w:hAnsi="Calibri"/>
          <w:b w:val="0"/>
          <w:color w:val="1F2937"/>
          <w:sz w:val="16"/>
        </w:rPr>
        <w:t>14</w:t>
      </w:r>
    </w:p>
    <w:p>
      <w:pPr>
        <w:spacing w:before="4" w:after="4" w:line="240" w:lineRule="auto"/>
      </w:pPr>
      <w:r>
        <w:rPr>
          <w:rFonts w:ascii="Calibri" w:hAnsi="Calibri"/>
          <w:b w:val="0"/>
          <w:color w:val="1F2937"/>
          <w:sz w:val="16"/>
        </w:rPr>
        <w:t xml:space="preserve">  6.3 Performance &amp; Resource Considerations</w:t>
      </w:r>
      <w:r>
        <w:rPr>
          <w:rFonts w:ascii="Calibri" w:hAnsi="Calibri"/>
          <w:color w:val="94A3B8"/>
          <w:sz w:val="15"/>
        </w:rPr>
        <w:t xml:space="preserve"> . . . </w:t>
      </w:r>
      <w:r>
        <w:rPr>
          <w:rFonts w:ascii="Calibri" w:hAnsi="Calibri"/>
          <w:b w:val="0"/>
          <w:color w:val="1F2937"/>
          <w:sz w:val="16"/>
        </w:rPr>
        <w:t>15</w:t>
      </w:r>
    </w:p>
    <w:p>
      <w:pPr>
        <w:spacing w:before="4" w:after="4" w:line="240" w:lineRule="auto"/>
      </w:pPr>
      <w:r>
        <w:rPr>
          <w:rFonts w:ascii="Calibri" w:hAnsi="Calibri"/>
          <w:b w:val="0"/>
          <w:color w:val="1F2937"/>
          <w:sz w:val="16"/>
        </w:rPr>
        <w:t xml:space="preserve">  6.4 Practical Applications &amp; Academic Scope</w:t>
      </w:r>
      <w:r>
        <w:rPr>
          <w:rFonts w:ascii="Calibri" w:hAnsi="Calibri"/>
          <w:color w:val="94A3B8"/>
          <w:sz w:val="15"/>
        </w:rPr>
        <w:t xml:space="preserve"> . . . </w:t>
      </w:r>
      <w:r>
        <w:rPr>
          <w:rFonts w:ascii="Calibri" w:hAnsi="Calibri"/>
          <w:b w:val="0"/>
          <w:color w:val="1F2937"/>
          <w:sz w:val="16"/>
        </w:rPr>
        <w:t>15</w:t>
      </w:r>
    </w:p>
    <w:p>
      <w:pPr>
        <w:spacing w:before="20" w:after="20" w:line="240" w:lineRule="auto"/>
      </w:pPr>
      <w:r>
        <w:rPr>
          <w:rFonts w:ascii="Calibri" w:hAnsi="Calibri"/>
          <w:b/>
          <w:color w:val="0F172A"/>
          <w:sz w:val="17"/>
        </w:rPr>
        <w:t>CHAPTER 7: CONCLUSION &amp; FUTURE SCOPE</w:t>
      </w:r>
      <w:r>
        <w:rPr>
          <w:rFonts w:ascii="Calibri" w:hAnsi="Calibri"/>
          <w:color w:val="94A3B8"/>
          <w:sz w:val="15"/>
        </w:rPr>
        <w:t xml:space="preserve"> . . . . </w:t>
      </w:r>
      <w:r>
        <w:rPr>
          <w:rFonts w:ascii="Calibri" w:hAnsi="Calibri"/>
          <w:b/>
          <w:color w:val="1E3A8A"/>
          <w:sz w:val="17"/>
        </w:rPr>
        <w:t>16</w:t>
      </w:r>
    </w:p>
    <w:p>
      <w:pPr>
        <w:spacing w:before="4" w:after="4" w:line="240" w:lineRule="auto"/>
      </w:pPr>
      <w:r>
        <w:rPr>
          <w:rFonts w:ascii="Calibri" w:hAnsi="Calibri"/>
          <w:b w:val="0"/>
          <w:color w:val="1F2937"/>
          <w:sz w:val="16"/>
        </w:rPr>
        <w:t xml:space="preserve">  7.1 Summary of Accomplishments</w:t>
      </w:r>
      <w:r>
        <w:rPr>
          <w:rFonts w:ascii="Calibri" w:hAnsi="Calibri"/>
          <w:color w:val="94A3B8"/>
          <w:sz w:val="15"/>
        </w:rPr>
        <w:t xml:space="preserve"> . . . . . . . . . . . . </w:t>
      </w:r>
      <w:r>
        <w:rPr>
          <w:rFonts w:ascii="Calibri" w:hAnsi="Calibri"/>
          <w:b w:val="0"/>
          <w:color w:val="1F2937"/>
          <w:sz w:val="16"/>
        </w:rPr>
        <w:t>16</w:t>
      </w:r>
    </w:p>
    <w:p>
      <w:pPr>
        <w:spacing w:before="4" w:after="4" w:line="240" w:lineRule="auto"/>
      </w:pPr>
      <w:r>
        <w:rPr>
          <w:rFonts w:ascii="Calibri" w:hAnsi="Calibri"/>
          <w:b w:val="0"/>
          <w:color w:val="1F2937"/>
          <w:sz w:val="16"/>
        </w:rPr>
        <w:t xml:space="preserve">  7.2 Key Technical Contributions</w:t>
      </w:r>
      <w:r>
        <w:rPr>
          <w:rFonts w:ascii="Calibri" w:hAnsi="Calibri"/>
          <w:color w:val="94A3B8"/>
          <w:sz w:val="15"/>
        </w:rPr>
        <w:t xml:space="preserve"> . . . . . . . . . . </w:t>
      </w:r>
      <w:r>
        <w:rPr>
          <w:rFonts w:ascii="Calibri" w:hAnsi="Calibri"/>
          <w:b w:val="0"/>
          <w:color w:val="1F2937"/>
          <w:sz w:val="16"/>
        </w:rPr>
        <w:t>16</w:t>
      </w:r>
    </w:p>
    <w:p>
      <w:pPr>
        <w:spacing w:before="4" w:after="4" w:line="240" w:lineRule="auto"/>
      </w:pPr>
      <w:r>
        <w:rPr>
          <w:rFonts w:ascii="Calibri" w:hAnsi="Calibri"/>
          <w:b w:val="0"/>
          <w:color w:val="1F2937"/>
          <w:sz w:val="16"/>
        </w:rPr>
        <w:t xml:space="preserve">  7.3 System Limitations</w:t>
      </w:r>
      <w:r>
        <w:rPr>
          <w:rFonts w:ascii="Calibri" w:hAnsi="Calibri"/>
          <w:color w:val="94A3B8"/>
          <w:sz w:val="15"/>
        </w:rPr>
        <w:t xml:space="preserve"> . . . . . . . . . . . . . . . . . . . . . . . . . . . . </w:t>
      </w:r>
      <w:r>
        <w:rPr>
          <w:rFonts w:ascii="Calibri" w:hAnsi="Calibri"/>
          <w:b w:val="0"/>
          <w:color w:val="1F2937"/>
          <w:sz w:val="16"/>
        </w:rPr>
        <w:t>16</w:t>
      </w:r>
    </w:p>
    <w:p>
      <w:pPr>
        <w:spacing w:before="4" w:after="4" w:line="240" w:lineRule="auto"/>
      </w:pPr>
      <w:r>
        <w:rPr>
          <w:rFonts w:ascii="Calibri" w:hAnsi="Calibri"/>
          <w:b w:val="0"/>
          <w:color w:val="1F2937"/>
          <w:sz w:val="16"/>
        </w:rPr>
        <w:t xml:space="preserve">  7.4 Future Research Directions &amp; Roadmap</w:t>
      </w:r>
      <w:r>
        <w:rPr>
          <w:rFonts w:ascii="Calibri" w:hAnsi="Calibri"/>
          <w:color w:val="94A3B8"/>
          <w:sz w:val="15"/>
        </w:rPr>
        <w:t xml:space="preserve"> . . . </w:t>
      </w:r>
      <w:r>
        <w:rPr>
          <w:rFonts w:ascii="Calibri" w:hAnsi="Calibri"/>
          <w:b w:val="0"/>
          <w:color w:val="1F2937"/>
          <w:sz w:val="16"/>
        </w:rPr>
        <w:t>16</w:t>
      </w:r>
    </w:p>
    <w:p>
      <w:pPr>
        <w:spacing w:before="20" w:after="20" w:line="240" w:lineRule="auto"/>
      </w:pPr>
      <w:r>
        <w:rPr>
          <w:rFonts w:ascii="Calibri" w:hAnsi="Calibri"/>
          <w:b/>
          <w:color w:val="0F172A"/>
          <w:sz w:val="17"/>
        </w:rPr>
        <w:t>REFERENCES</w:t>
      </w:r>
      <w:r>
        <w:rPr>
          <w:rFonts w:ascii="Calibri" w:hAnsi="Calibri"/>
          <w:color w:val="94A3B8"/>
          <w:sz w:val="15"/>
        </w:rPr>
        <w:t xml:space="preserve"> . . . . . . . . . . . . . . . . . . . . . . . . . . . . . . . . . . . . . . . . . . . . . . . . . . . . . . . . </w:t>
      </w:r>
      <w:r>
        <w:rPr>
          <w:rFonts w:ascii="Calibri" w:hAnsi="Calibri"/>
          <w:b/>
          <w:color w:val="1E3A8A"/>
          <w:sz w:val="17"/>
        </w:rPr>
        <w:t>17</w:t>
      </w:r>
    </w:p>
    <w:p>
      <w:r>
        <w:br w:type="page"/>
      </w:r>
    </w:p>
    <w:p>
      <w:pPr>
        <w:spacing w:before="200" w:after="160"/>
        <w:jc w:val="center"/>
      </w:pPr>
      <w:r>
        <w:rPr>
          <w:rFonts w:ascii="Calibri" w:hAnsi="Calibri"/>
          <w:b/>
          <w:color w:val="0F172A"/>
          <w:sz w:val="26"/>
        </w:rPr>
        <w:t>LIST OF FIGURES</w:t>
      </w:r>
    </w:p>
    <w:p>
      <w:pPr>
        <w:spacing w:before="30" w:after="30" w:line="252" w:lineRule="auto"/>
      </w:pPr>
      <w:r>
        <w:rPr>
          <w:rFonts w:ascii="Calibri" w:hAnsi="Calibri"/>
          <w:color w:val="1F2937"/>
          <w:sz w:val="17"/>
        </w:rPr>
        <w:t>Figure 3.1: Three-Tier Cloud Security Architecture of AFES</w:t>
      </w:r>
      <w:r>
        <w:rPr>
          <w:color w:val="94A3B8"/>
          <w:sz w:val="15"/>
        </w:rPr>
        <w:t xml:space="preserve"> . . . </w:t>
      </w:r>
      <w:r>
        <w:rPr>
          <w:rFonts w:ascii="Calibri" w:hAnsi="Calibri"/>
          <w:b/>
          <w:color w:val="1E3A8A"/>
          <w:sz w:val="17"/>
        </w:rPr>
        <w:t>5</w:t>
      </w:r>
    </w:p>
    <w:p>
      <w:pPr>
        <w:spacing w:before="30" w:after="30" w:line="252" w:lineRule="auto"/>
      </w:pPr>
      <w:r>
        <w:rPr>
          <w:rFonts w:ascii="Calibri" w:hAnsi="Calibri"/>
          <w:color w:val="1F2937"/>
          <w:sz w:val="17"/>
        </w:rPr>
        <w:t>Figure 3.2: User Authentication and Authorization Flowchart</w:t>
      </w:r>
      <w:r>
        <w:rPr>
          <w:color w:val="94A3B8"/>
          <w:sz w:val="15"/>
        </w:rPr>
        <w:t xml:space="preserve"> . . . </w:t>
      </w:r>
      <w:r>
        <w:rPr>
          <w:rFonts w:ascii="Calibri" w:hAnsi="Calibri"/>
          <w:b/>
          <w:color w:val="1E3A8A"/>
          <w:sz w:val="17"/>
        </w:rPr>
        <w:t>6</w:t>
      </w:r>
    </w:p>
    <w:p>
      <w:pPr>
        <w:spacing w:before="30" w:after="30" w:line="252" w:lineRule="auto"/>
      </w:pPr>
      <w:r>
        <w:rPr>
          <w:rFonts w:ascii="Calibri" w:hAnsi="Calibri"/>
          <w:color w:val="1F2937"/>
          <w:sz w:val="17"/>
        </w:rPr>
        <w:t>Figure 3.3: Dual-Phase Cryptographic &amp; Cloud Storage Workflow</w:t>
      </w:r>
      <w:r>
        <w:rPr>
          <w:color w:val="94A3B8"/>
          <w:sz w:val="15"/>
        </w:rPr>
        <w:t xml:space="preserve"> . . . </w:t>
      </w:r>
      <w:r>
        <w:rPr>
          <w:rFonts w:ascii="Calibri" w:hAnsi="Calibri"/>
          <w:b/>
          <w:color w:val="1E3A8A"/>
          <w:sz w:val="17"/>
        </w:rPr>
        <w:t>7</w:t>
      </w:r>
    </w:p>
    <w:p>
      <w:pPr>
        <w:spacing w:before="30" w:after="30" w:line="252" w:lineRule="auto"/>
      </w:pPr>
      <w:r>
        <w:rPr>
          <w:rFonts w:ascii="Calibri" w:hAnsi="Calibri"/>
          <w:color w:val="1F2937"/>
          <w:sz w:val="17"/>
        </w:rPr>
        <w:t>Figure 5.1: Backend Test Suite Distribution &amp; Verification Breakdown</w:t>
      </w:r>
      <w:r>
        <w:rPr>
          <w:color w:val="94A3B8"/>
          <w:sz w:val="15"/>
        </w:rPr>
        <w:t xml:space="preserve"> . . . </w:t>
      </w:r>
      <w:r>
        <w:rPr>
          <w:rFonts w:ascii="Calibri" w:hAnsi="Calibri"/>
          <w:b/>
          <w:color w:val="1E3A8A"/>
          <w:sz w:val="17"/>
        </w:rPr>
        <w:t>11</w:t>
      </w:r>
    </w:p>
    <w:p>
      <w:pPr>
        <w:spacing w:before="320" w:after="160"/>
        <w:jc w:val="center"/>
      </w:pPr>
      <w:r>
        <w:rPr>
          <w:rFonts w:ascii="Calibri" w:hAnsi="Calibri"/>
          <w:b/>
          <w:color w:val="0F172A"/>
          <w:sz w:val="26"/>
        </w:rPr>
        <w:t>LIST OF TABLES</w:t>
      </w:r>
    </w:p>
    <w:p>
      <w:pPr>
        <w:spacing w:before="30" w:after="30" w:line="252" w:lineRule="auto"/>
      </w:pPr>
      <w:r>
        <w:rPr>
          <w:rFonts w:ascii="Calibri" w:hAnsi="Calibri"/>
          <w:color w:val="1F2937"/>
          <w:sz w:val="17"/>
        </w:rPr>
        <w:t>Table 2.1: Comparison between Traditional Storage, Cloud SSE, and AFES</w:t>
      </w:r>
      <w:r>
        <w:rPr>
          <w:color w:val="94A3B8"/>
          <w:sz w:val="15"/>
        </w:rPr>
        <w:t xml:space="preserve"> . . . </w:t>
      </w:r>
      <w:r>
        <w:rPr>
          <w:rFonts w:ascii="Calibri" w:hAnsi="Calibri"/>
          <w:b/>
          <w:color w:val="1E3A8A"/>
          <w:sz w:val="17"/>
        </w:rPr>
        <w:t>4</w:t>
      </w:r>
    </w:p>
    <w:p>
      <w:pPr>
        <w:spacing w:before="30" w:after="30" w:line="252" w:lineRule="auto"/>
      </w:pPr>
      <w:r>
        <w:rPr>
          <w:rFonts w:ascii="Calibri" w:hAnsi="Calibri"/>
          <w:color w:val="1F2937"/>
          <w:sz w:val="17"/>
        </w:rPr>
        <w:t>Table 3.1: Relational Database Schema &amp; Metadata Attributes</w:t>
      </w:r>
      <w:r>
        <w:rPr>
          <w:color w:val="94A3B8"/>
          <w:sz w:val="15"/>
        </w:rPr>
        <w:t xml:space="preserve"> . . . </w:t>
      </w:r>
      <w:r>
        <w:rPr>
          <w:rFonts w:ascii="Calibri" w:hAnsi="Calibri"/>
          <w:b/>
          <w:color w:val="1E3A8A"/>
          <w:sz w:val="17"/>
        </w:rPr>
        <w:t>8</w:t>
      </w:r>
    </w:p>
    <w:p>
      <w:pPr>
        <w:spacing w:before="30" w:after="30" w:line="252" w:lineRule="auto"/>
      </w:pPr>
      <w:r>
        <w:rPr>
          <w:rFonts w:ascii="Calibri" w:hAnsi="Calibri"/>
          <w:color w:val="1F2937"/>
          <w:sz w:val="17"/>
        </w:rPr>
        <w:t>Table 3.2: RESTful API Endpoints Specification &amp; Authorization Policy</w:t>
      </w:r>
      <w:r>
        <w:rPr>
          <w:color w:val="94A3B8"/>
          <w:sz w:val="15"/>
        </w:rPr>
        <w:t xml:space="preserve"> . . . </w:t>
      </w:r>
      <w:r>
        <w:rPr>
          <w:rFonts w:ascii="Calibri" w:hAnsi="Calibri"/>
          <w:b/>
          <w:color w:val="1E3A8A"/>
          <w:sz w:val="17"/>
        </w:rPr>
        <w:t>8</w:t>
      </w:r>
    </w:p>
    <w:p>
      <w:pPr>
        <w:spacing w:before="30" w:after="30" w:line="252" w:lineRule="auto"/>
      </w:pPr>
      <w:r>
        <w:rPr>
          <w:rFonts w:ascii="Calibri" w:hAnsi="Calibri"/>
          <w:color w:val="1F2937"/>
          <w:sz w:val="17"/>
        </w:rPr>
        <w:t>Table 5.1: Backend Automated Test Suite Execution Results (33 Passed)</w:t>
      </w:r>
      <w:r>
        <w:rPr>
          <w:color w:val="94A3B8"/>
          <w:sz w:val="15"/>
        </w:rPr>
        <w:t xml:space="preserve"> . . . </w:t>
      </w:r>
      <w:r>
        <w:rPr>
          <w:rFonts w:ascii="Calibri" w:hAnsi="Calibri"/>
          <w:b/>
          <w:color w:val="1E3A8A"/>
          <w:sz w:val="17"/>
        </w:rPr>
        <w:t>11</w:t>
      </w:r>
    </w:p>
    <w:p>
      <w:pPr>
        <w:spacing w:before="30" w:after="30" w:line="252" w:lineRule="auto"/>
      </w:pPr>
      <w:r>
        <w:rPr>
          <w:rFonts w:ascii="Calibri" w:hAnsi="Calibri"/>
          <w:color w:val="1F2937"/>
          <w:sz w:val="17"/>
        </w:rPr>
        <w:t>Table 5.2: Live 10-Step End-to-End Workflow Verification Results</w:t>
      </w:r>
      <w:r>
        <w:rPr>
          <w:color w:val="94A3B8"/>
          <w:sz w:val="15"/>
        </w:rPr>
        <w:t xml:space="preserve"> . . . </w:t>
      </w:r>
      <w:r>
        <w:rPr>
          <w:rFonts w:ascii="Calibri" w:hAnsi="Calibri"/>
          <w:b/>
          <w:color w:val="1E3A8A"/>
          <w:sz w:val="17"/>
        </w:rPr>
        <w:t>12</w:t>
      </w:r>
    </w:p>
    <w:p>
      <w:pPr>
        <w:spacing w:before="30" w:after="30" w:line="252" w:lineRule="auto"/>
      </w:pPr>
      <w:r>
        <w:rPr>
          <w:rFonts w:ascii="Calibri" w:hAnsi="Calibri"/>
          <w:color w:val="1F2937"/>
          <w:sz w:val="17"/>
        </w:rPr>
        <w:t>Table 5.3: Robustness Verification across Malformed Inputs &amp; Edge Cases</w:t>
      </w:r>
      <w:r>
        <w:rPr>
          <w:color w:val="94A3B8"/>
          <w:sz w:val="15"/>
        </w:rPr>
        <w:t xml:space="preserve"> . . . </w:t>
      </w:r>
      <w:r>
        <w:rPr>
          <w:rFonts w:ascii="Calibri" w:hAnsi="Calibri"/>
          <w:b/>
          <w:color w:val="1E3A8A"/>
          <w:sz w:val="17"/>
        </w:rPr>
        <w:t>13</w:t>
      </w:r>
    </w:p>
    <w:p>
      <w:pPr>
        <w:spacing w:before="30" w:after="30" w:line="252" w:lineRule="auto"/>
      </w:pPr>
      <w:r>
        <w:rPr>
          <w:rFonts w:ascii="Calibri" w:hAnsi="Calibri"/>
          <w:color w:val="1F2937"/>
          <w:sz w:val="17"/>
        </w:rPr>
        <w:t>Table 6.1: Comparative Analysis of Cloud Storage Paradigms &amp; Overhead</w:t>
      </w:r>
      <w:r>
        <w:rPr>
          <w:color w:val="94A3B8"/>
          <w:sz w:val="15"/>
        </w:rPr>
        <w:t xml:space="preserve"> . . . </w:t>
      </w:r>
      <w:r>
        <w:rPr>
          <w:rFonts w:ascii="Calibri" w:hAnsi="Calibri"/>
          <w:b/>
          <w:color w:val="1E3A8A"/>
          <w:sz w:val="17"/>
        </w:rPr>
        <w:t>14</w:t>
      </w:r>
    </w:p>
    <w:p>
      <w:r>
        <w:br w:type="page"/>
      </w:r>
    </w:p>
    <w:p>
      <w:pPr>
        <w:keepNext/>
        <w:spacing w:before="200" w:after="100"/>
      </w:pPr>
      <w:r>
        <w:rPr>
          <w:rFonts w:ascii="Calibri" w:hAnsi="Calibri"/>
          <w:b/>
          <w:color w:val="0F172A"/>
          <w:sz w:val="30"/>
        </w:rPr>
        <w:t>CHAPTER 1: INTRODUCTION</w:t>
      </w:r>
    </w:p>
    <w:p>
      <w:pPr>
        <w:keepNext/>
        <w:spacing w:before="160" w:after="50"/>
      </w:pPr>
      <w:r>
        <w:rPr>
          <w:rFonts w:ascii="Calibri" w:hAnsi="Calibri"/>
          <w:b/>
          <w:color w:val="1E3A8A"/>
          <w:sz w:val="24"/>
        </w:rPr>
        <w:t>1.1 Background &amp; Motivation</w:t>
      </w:r>
    </w:p>
    <w:p>
      <w:pPr>
        <w:spacing w:before="0" w:after="70" w:line="269" w:lineRule="auto"/>
        <w:jc w:val="both"/>
      </w:pPr>
      <w:r>
        <w:rPr>
          <w:rFonts w:ascii="Calibri" w:hAnsi="Calibri"/>
          <w:color w:val="1F2937"/>
          <w:sz w:val="20"/>
        </w:rPr>
        <w:t>The rapid proliferation of cloud computing architectures has fundamentally transformed how modern enterprises, public sector bodies, and academic institutions store, process, and share digital assets. Modern cloud object storage platforms, typified by Amazon Web Services Simple Storage Service (AWS S3) and private S3-compatible solutions such as MinIO, provide virtually boundless storage capacity, high availability across multiple availability zones, and global network accessibility. By delegating storage hardware management to cloud infrastructure providers, organizations achieve significant operational agility and reduced capital expenditures.</w:t>
      </w:r>
    </w:p>
    <w:p>
      <w:pPr>
        <w:spacing w:before="0" w:after="70" w:line="269" w:lineRule="auto"/>
        <w:jc w:val="both"/>
      </w:pPr>
      <w:r>
        <w:rPr>
          <w:rFonts w:ascii="Calibri" w:hAnsi="Calibri"/>
          <w:color w:val="1F2937"/>
          <w:sz w:val="20"/>
        </w:rPr>
        <w:t>However, this paradigm shift introduces critical information security challenges. Centralizing multi-tenant file repositories in remote cloud datacenters fundamentally shifts the security perimeter outside the organization's immediate administrative control. In conventional cloud storage models, files are uploaded over Transport Layer Security (TLS/HTTPS) and persisted onto disk media where storage-level Server-Side Encryption (SSE) is applied by the cloud provider. While this mechanism satisfies regulatory encryption-at-rest mandates, it leaves sensitive records vulnerable to insider threats at the cloud provider tier, infrastructure-level hypervisor compromises, and catastrophic access policy misconfigurations. When cloud access control lists (ACLs) or bucket policies are inadvertently rendered public, stored files are immediately exposed in unencrypted plaintext.</w:t>
      </w:r>
    </w:p>
    <w:p>
      <w:pPr>
        <w:spacing w:before="0" w:after="70" w:line="269" w:lineRule="auto"/>
        <w:jc w:val="both"/>
      </w:pPr>
      <w:r>
        <w:rPr>
          <w:rFonts w:ascii="Calibri" w:hAnsi="Calibri"/>
          <w:color w:val="1F2937"/>
          <w:sz w:val="20"/>
        </w:rPr>
        <w:t>To overcome these systemic vulnerabilities, modern information security paradigms advocate for zero-trust, client-to-server authenticated encryption. Under this model, sensitive payloads undergo authenticated cryptographic transformation at the application tier before transmission to the cloud. The cloud object store serves strictly as an untrusted repository of ciphertext bytes, ensuring that even in the event of unauthorized bucket enumeration or physical disk extraction, data confidentiality and integrity remain mathematically inviolable.</w:t>
      </w:r>
    </w:p>
    <w:p>
      <w:pPr>
        <w:keepNext/>
        <w:spacing w:before="160" w:after="50"/>
      </w:pPr>
      <w:r>
        <w:rPr>
          <w:rFonts w:ascii="Calibri" w:hAnsi="Calibri"/>
          <w:b/>
          <w:color w:val="1E3A8A"/>
          <w:sz w:val="24"/>
        </w:rPr>
        <w:t>1.2 Problem Statement</w:t>
      </w:r>
    </w:p>
    <w:p>
      <w:pPr>
        <w:spacing w:before="0" w:after="70" w:line="269" w:lineRule="auto"/>
        <w:jc w:val="both"/>
      </w:pPr>
      <w:r>
        <w:rPr>
          <w:rFonts w:ascii="Calibri" w:hAnsi="Calibri"/>
          <w:color w:val="1F2937"/>
          <w:sz w:val="20"/>
        </w:rPr>
        <w:t>Existing cloud storage deployments exhibit critical architectural deficiencies: (1) Reliance on Provider-Managed Encryption, leaving data exposed to cloud credential leaks and administrative subpoenas; (2) Lack of Authenticated Integrity Verification, where traditional modes (such as CBC or CTR without MAC) fail to protect against active bit-flipping attacks; (3) Insufficient Multi-Tenant Access Isolation, relying naively on client-tier restrictions rather than verified server-side identity checks; and (4) Inadequate Key Management, where encryption keys are stored adjacent to ciphertext or embedded within client code.</w:t>
      </w:r>
    </w:p>
    <w:p>
      <w:pPr>
        <w:keepNext/>
        <w:spacing w:before="160" w:after="50"/>
      </w:pPr>
      <w:r>
        <w:rPr>
          <w:rFonts w:ascii="Calibri" w:hAnsi="Calibri"/>
          <w:b/>
          <w:color w:val="1E3A8A"/>
          <w:sz w:val="24"/>
        </w:rPr>
        <w:t>1.3 Objectives of the Project</w:t>
      </w:r>
    </w:p>
    <w:p>
      <w:pPr>
        <w:spacing w:before="0" w:after="70" w:line="269" w:lineRule="auto"/>
        <w:jc w:val="both"/>
      </w:pPr>
      <w:r>
        <w:rPr>
          <w:rFonts w:ascii="Calibri" w:hAnsi="Calibri"/>
          <w:color w:val="1F2937"/>
          <w:sz w:val="20"/>
        </w:rPr>
        <w:t>The overarching engineering objective of the Authenticated File Encryption System (AFES) is to design, develop, verify, and demonstrate an enterprise-grade cloud file security platform. The specific technical objectives are:</w:t>
      </w:r>
    </w:p>
    <w:p>
      <w:pPr>
        <w:spacing w:before="0" w:after="70" w:line="269" w:lineRule="auto"/>
        <w:jc w:val="both"/>
      </w:pPr>
      <w:r>
        <w:rPr>
          <w:rFonts w:ascii="Calibri" w:hAnsi="Calibri"/>
          <w:color w:val="1F2937"/>
          <w:sz w:val="20"/>
        </w:rPr>
        <w:t>• Implement Memory-Hard User Authentication: Secure user identities using Argon2id password hashing to prevent brute-force attacks and issue stateless, signed JSON Web Tokens (JWT) for session management.</w:t>
      </w:r>
    </w:p>
    <w:p>
      <w:pPr>
        <w:spacing w:before="0" w:after="70" w:line="269" w:lineRule="auto"/>
        <w:jc w:val="both"/>
      </w:pPr>
      <w:r>
        <w:rPr>
          <w:rFonts w:ascii="Calibri" w:hAnsi="Calibri"/>
          <w:color w:val="1F2937"/>
          <w:sz w:val="20"/>
        </w:rPr>
        <w:t>• Execute Client-to-Server Authenticated Cryptography: Apply AES-256 in Galois/Counter Mode (AES-256-GCM) with fresh 96-bit cryptographically secure nonces for every uploaded file, producing an authenticated 128-bit integrity tag.</w:t>
      </w:r>
    </w:p>
    <w:p>
      <w:pPr>
        <w:spacing w:before="0" w:after="70" w:line="269" w:lineRule="auto"/>
        <w:jc w:val="both"/>
      </w:pPr>
      <w:r>
        <w:rPr>
          <w:rFonts w:ascii="Calibri" w:hAnsi="Calibri"/>
          <w:color w:val="1F2937"/>
          <w:sz w:val="20"/>
        </w:rPr>
        <w:t>• Formulate Cryptographic Ownership Binding: Bind tenant ownership identifiers and file metadata as Authenticated Additional Data (AAD), mathematically prohibiting unauthorized ciphertext transfer between users.</w:t>
      </w:r>
    </w:p>
    <w:p>
      <w:pPr>
        <w:spacing w:before="0" w:after="70" w:line="269" w:lineRule="auto"/>
        <w:jc w:val="both"/>
      </w:pPr>
      <w:r>
        <w:rPr>
          <w:rFonts w:ascii="Calibri" w:hAnsi="Calibri"/>
          <w:color w:val="1F2937"/>
          <w:sz w:val="20"/>
        </w:rPr>
        <w:t>• Establish Envelope Key Management: Implement a two-tier key hierarchy generating ephemeral 256-bit Data Encryption Keys (DEKs) wrapped by a Master Key Encryption Key (KEK), establishing an architectural bridge for AWS KMS.</w:t>
      </w:r>
    </w:p>
    <w:p>
      <w:pPr>
        <w:spacing w:before="0" w:after="70" w:line="269" w:lineRule="auto"/>
        <w:jc w:val="both"/>
      </w:pPr>
      <w:r>
        <w:rPr>
          <w:rFonts w:ascii="Calibri" w:hAnsi="Calibri"/>
          <w:color w:val="1F2937"/>
          <w:sz w:val="20"/>
        </w:rPr>
        <w:t>• Construct a Pluggable Cloud Storage Abstraction: Engineer a modular storage provider interface capable of seamlessly switching between production AWS S3 buckets and local S3-compatible MinIO instances.</w:t>
      </w:r>
    </w:p>
    <w:p>
      <w:pPr>
        <w:spacing w:before="0" w:after="70" w:line="269" w:lineRule="auto"/>
        <w:jc w:val="both"/>
      </w:pPr>
      <w:r>
        <w:rPr>
          <w:rFonts w:ascii="Calibri" w:hAnsi="Calibri"/>
          <w:color w:val="1F2937"/>
          <w:sz w:val="20"/>
        </w:rPr>
        <w:t>• Enforce Zero-Trust Server-Side Authorization: Guarantee complete cross-tenant file isolation where user identities are derived strictly from verified cryptographic tokens, intercepting unauthorized access attempts.</w:t>
      </w:r>
    </w:p>
    <w:p>
      <w:pPr>
        <w:spacing w:before="0" w:after="70" w:line="269" w:lineRule="auto"/>
        <w:jc w:val="both"/>
      </w:pPr>
      <w:r>
        <w:rPr>
          <w:rFonts w:ascii="Calibri" w:hAnsi="Calibri"/>
          <w:color w:val="1F2937"/>
          <w:sz w:val="20"/>
        </w:rPr>
        <w:t>• Maintain Tamper-Evident Audit Telemetry: Persist detailed operational logs recording authentications, file uploads, decryptions, and security violations while strictly redacting sensitive credentials and keys.</w:t>
      </w:r>
    </w:p>
    <w:p>
      <w:pPr>
        <w:keepNext/>
        <w:spacing w:before="160" w:after="50"/>
      </w:pPr>
      <w:r>
        <w:rPr>
          <w:rFonts w:ascii="Calibri" w:hAnsi="Calibri"/>
          <w:b/>
          <w:color w:val="1E3A8A"/>
          <w:sz w:val="24"/>
        </w:rPr>
        <w:t>1.4 Scope &amp; Limitations</w:t>
      </w:r>
    </w:p>
    <w:p>
      <w:pPr>
        <w:spacing w:before="0" w:after="70" w:line="269" w:lineRule="auto"/>
        <w:jc w:val="both"/>
      </w:pPr>
      <w:r>
        <w:rPr>
          <w:rFonts w:ascii="Calibri" w:hAnsi="Calibri"/>
          <w:color w:val="1F2937"/>
          <w:sz w:val="20"/>
        </w:rPr>
        <w:t>Scope: The project encompasses the complete full-stack implementation, including the FastAPI asynchronous backend (Python 3.12+), SQLAlchemy relational persistence layer (SQLite WAL mode), cryptographic service layer (Python Cryptography), modular S3/MinIO cloud storage provider (Boto3), and a responsive user dashboard built with React 18, TypeScript, and Tailwind CSS. The system has been fully tested and validated against diverse binary formats (PDF, DOCX, TXT, images, ZIP archives) up to 100 MB per file.</w:t>
      </w:r>
    </w:p>
    <w:p>
      <w:pPr>
        <w:spacing w:before="0" w:after="70" w:line="269" w:lineRule="auto"/>
        <w:jc w:val="both"/>
      </w:pPr>
      <w:r>
        <w:rPr>
          <w:rFonts w:ascii="Calibri" w:hAnsi="Calibri"/>
          <w:color w:val="1F2937"/>
          <w:sz w:val="20"/>
        </w:rPr>
        <w:t>Limitations: As an educational engineering mini-project, the Master KEK is supplied via secure environment variables rather than a dedicated Hardware Security Module (HSM). Transport Layer Security (TLS) is assumed to be terminated at an external reverse proxy (such as Nginx or AWS CloudFront) during production deployment. Streaming encryption for multi-gigabyte files is reserved for future scope.</w:t>
      </w:r>
    </w:p>
    <w:p>
      <w:pPr>
        <w:keepNext/>
        <w:spacing w:before="160" w:after="50"/>
      </w:pPr>
      <w:r>
        <w:rPr>
          <w:rFonts w:ascii="Calibri" w:hAnsi="Calibri"/>
          <w:b/>
          <w:color w:val="1E3A8A"/>
          <w:sz w:val="24"/>
        </w:rPr>
        <w:t>1.5 System Classification &amp; Cloud Computing Model</w:t>
      </w:r>
    </w:p>
    <w:tbl>
      <w:tblPr>
        <w:tblW w:type="auto" w:w="0"/>
        <w:jc w:val="center"/>
        <w:tblLook w:firstColumn="1" w:firstRow="1" w:lastColumn="0" w:lastRow="0" w:noHBand="0" w:noVBand="1" w:val="04A0"/>
      </w:tblPr>
      <w:tblGrid>
        <w:gridCol w:w="9360"/>
      </w:tblGrid>
      <w:tr>
        <w:tc>
          <w:tcPr>
            <w:tcW w:type="dxa" w:w="9360"/>
            <w:tcMar>
              <w:top w:w="120" w:type="dxa"/>
              <w:bottom w:w="120" w:type="dxa"/>
              <w:left w:w="200" w:type="dxa"/>
              <w:right w:w="200" w:type="dxa"/>
            </w:tcMar>
            <w:shd w:fill="eff6ff"/>
            <w:tcBorders>
              <w:top w:val="none"/>
              <w:left w:val="single" w:sz="24" w:space="0" w:color="1e3a8a"/>
              <w:bottom w:val="none"/>
              <w:right w:val="none"/>
            </w:tcBorders>
          </w:tcPr>
          <w:p>
            <w:pPr>
              <w:spacing w:before="0" w:after="40"/>
            </w:pPr>
            <w:r>
              <w:rPr>
                <w:rFonts w:ascii="Calibri" w:hAnsi="Calibri"/>
                <w:b/>
                <w:color w:val="1E3A8A"/>
                <w:sz w:val="19"/>
              </w:rPr>
              <w:t>[SYSTEM CLASSIFICATION: APPLICATION-LAYER CLOUD SECURITY MICROSERVICE]</w:t>
              <w:br/>
            </w:r>
          </w:p>
          <w:p>
            <w:pPr>
              <w:spacing w:before="20" w:after="20" w:line="276" w:lineRule="auto"/>
            </w:pPr>
            <w:r>
              <w:rPr>
                <w:rFonts w:ascii="Calibri" w:hAnsi="Calibri"/>
                <w:color w:val="1F2937"/>
                <w:sz w:val="18"/>
              </w:rPr>
              <w:t>AFES operates as an Application-Layer Cryptographic Microservice paired with Cloud Object Storage.</w:t>
            </w:r>
          </w:p>
          <w:p>
            <w:pPr>
              <w:spacing w:before="20" w:after="20" w:line="276" w:lineRule="auto"/>
              <w:ind w:left="216"/>
            </w:pPr>
            <w:r>
              <w:rPr>
                <w:rFonts w:ascii="Calibri" w:hAnsi="Calibri"/>
                <w:color w:val="1F2937"/>
                <w:sz w:val="18"/>
              </w:rPr>
              <w:t>• Compute Model: Stateless asynchronous REST API instances capable of horizontal scaling behind load balancers.</w:t>
            </w:r>
          </w:p>
          <w:p>
            <w:pPr>
              <w:spacing w:before="20" w:after="20" w:line="276" w:lineRule="auto"/>
              <w:ind w:left="216"/>
            </w:pPr>
            <w:r>
              <w:rPr>
                <w:rFonts w:ascii="Calibri" w:hAnsi="Calibri"/>
                <w:color w:val="1F2937"/>
                <w:sz w:val="18"/>
              </w:rPr>
              <w:t>• Storage Model: Immutable object storage paradigm (AWS S3 / MinIO) storing cryptographically sealed binary blobs.</w:t>
            </w:r>
          </w:p>
          <w:p>
            <w:pPr>
              <w:spacing w:before="20" w:after="20" w:line="276" w:lineRule="auto"/>
              <w:ind w:left="216"/>
            </w:pPr>
            <w:r>
              <w:rPr>
                <w:rFonts w:ascii="Calibri" w:hAnsi="Calibri"/>
                <w:color w:val="1F2937"/>
                <w:sz w:val="18"/>
              </w:rPr>
              <w:t>• Trust Boundary: Zero-Trust Cloud Architecture where the remote storage service is classified as untrusted media.</w:t>
            </w:r>
          </w:p>
        </w:tc>
      </w:tr>
    </w:tbl>
    <w:p>
      <w:pPr>
        <w:spacing w:before="0" w:after="80"/>
      </w:pPr>
    </w:p>
    <w:p>
      <w:pPr>
        <w:keepNext/>
        <w:spacing w:before="160" w:after="50"/>
      </w:pPr>
      <w:r>
        <w:rPr>
          <w:rFonts w:ascii="Calibri" w:hAnsi="Calibri"/>
          <w:b/>
          <w:color w:val="1E3A8A"/>
          <w:sz w:val="24"/>
        </w:rPr>
        <w:t>1.6 Report Organization</w:t>
      </w:r>
    </w:p>
    <w:p>
      <w:pPr>
        <w:spacing w:before="0" w:after="70" w:line="269" w:lineRule="auto"/>
        <w:jc w:val="both"/>
      </w:pPr>
      <w:r>
        <w:rPr>
          <w:rFonts w:ascii="Calibri" w:hAnsi="Calibri"/>
          <w:color w:val="1F2937"/>
          <w:sz w:val="20"/>
        </w:rPr>
        <w:t>This report is structured into seven chapters: Chapter 1 introduces the project background, objectives, and scope. Chapter 2 reviews literature on cloud storage, access control, and authenticated cryptography. Chapter 3 details the architecture, workflows, and database models. Chapter 4 elaborates on the technical implementation across FastAPI, Cryptography, and React. Chapter 5 presents empirical verification across 33 automated tests and live demonstration pipelines. Chapter 6 provides an analytical evaluation of security trade-offs and performance. Chapter 7 concludes the report with key contributions and future research roadmaps.</w:t>
      </w:r>
    </w:p>
    <w:p>
      <w:r>
        <w:br w:type="page"/>
      </w:r>
    </w:p>
    <w:p>
      <w:pPr>
        <w:keepNext/>
        <w:spacing w:before="200" w:after="100"/>
      </w:pPr>
      <w:r>
        <w:rPr>
          <w:rFonts w:ascii="Calibri" w:hAnsi="Calibri"/>
          <w:b/>
          <w:color w:val="0F172A"/>
          <w:sz w:val="30"/>
        </w:rPr>
        <w:t>CHAPTER 2: LITERATURE SURVEY &amp; RELATED WORK</w:t>
      </w:r>
    </w:p>
    <w:p>
      <w:pPr>
        <w:keepNext/>
        <w:spacing w:before="160" w:after="50"/>
      </w:pPr>
      <w:r>
        <w:rPr>
          <w:rFonts w:ascii="Calibri" w:hAnsi="Calibri"/>
          <w:b/>
          <w:color w:val="1E3A8A"/>
          <w:sz w:val="24"/>
        </w:rPr>
        <w:t>2.1 Traditional File Storage &amp; Cloud Storage Security</w:t>
      </w:r>
    </w:p>
    <w:p>
      <w:pPr>
        <w:spacing w:before="0" w:after="70" w:line="269" w:lineRule="auto"/>
        <w:jc w:val="both"/>
      </w:pPr>
      <w:r>
        <w:rPr>
          <w:rFonts w:ascii="Calibri" w:hAnsi="Calibri"/>
          <w:color w:val="1F2937"/>
          <w:sz w:val="20"/>
        </w:rPr>
        <w:t>Traditional network-attached storage (NAS) and storage area networks (SAN) rely on perimeter network defenses, POSIX filesystem permissions, and local disk encryption (such as BitLocker or dm-crypt). In these environments, trusted administrative users manage access lists on local servers. However, when migrating to public cloud infrastructures, physical boundaries dissolve. Cloud object storage architectures organize data into flat, addressable buckets rather than hierarchical directory trees. Each object comprises raw binary payload data, a unique resource key, and HTTP metadata headers. While cloud storage providers offer robust data redundancy (achieving up to 99.999999999% durability), security responsibility is governed by the Cloud Shared Responsibility Model. The cloud provider guarantees physical infrastructure and storage cluster availability, while data classification, identity management, and payload encryption remain the sole responsibility of the customer.</w:t>
      </w:r>
    </w:p>
    <w:p>
      <w:pPr>
        <w:keepNext/>
        <w:spacing w:before="160" w:after="50"/>
      </w:pPr>
      <w:r>
        <w:rPr>
          <w:rFonts w:ascii="Calibri" w:hAnsi="Calibri"/>
          <w:b/>
          <w:color w:val="1E3A8A"/>
          <w:sz w:val="24"/>
        </w:rPr>
        <w:t>2.2 Authentication &amp; Access Control</w:t>
      </w:r>
    </w:p>
    <w:p>
      <w:pPr>
        <w:spacing w:before="0" w:after="70" w:line="269" w:lineRule="auto"/>
        <w:jc w:val="both"/>
      </w:pPr>
      <w:r>
        <w:rPr>
          <w:rFonts w:ascii="Calibri" w:hAnsi="Calibri"/>
          <w:color w:val="1F2937"/>
          <w:sz w:val="20"/>
        </w:rPr>
        <w:t>Identity verification constitutes the primary perimeter defense in multi-tenant web systems. Historically, web applications relied on unsalted or single-iteration cryptographic hash functions such as MD5, SHA-1, or plain SHA-256 for password persistence. Modern cryptanalysis and distributed GPU clusters have rendered these functions obsolete, enabling attackers to evaluate billions of hashes per second using precomputed rainbow tables. In response, modern cryptographic standards mandate memory-hard password hashing algorithms. Argon2, the winner of the Password Hashing Competition (PHC) and formalized under RFC 9106, introduces configurable memory cost, time iterations, and parallelism parameters. Argon2id specifically combines data-dependent and data-independent memory access patterns, delivering proven resistance against both side-channel attacks and GPU/ASIC acceleration.</w:t>
      </w:r>
    </w:p>
    <w:p>
      <w:pPr>
        <w:spacing w:before="0" w:after="70" w:line="269" w:lineRule="auto"/>
        <w:jc w:val="both"/>
      </w:pPr>
      <w:r>
        <w:rPr>
          <w:rFonts w:ascii="Calibri" w:hAnsi="Calibri"/>
          <w:color w:val="1F2937"/>
          <w:sz w:val="20"/>
        </w:rPr>
        <w:t>For session state management, traditional stateful session architectures store session tokens in server memory or centralized key-value caches (such as Redis). While functional, stateful sessions introduce cache synchronization bottlenecks across horizontally scaled cloud API instances. Stateless token architectures based on JSON Web Tokens (JWT, RFC 7519) eliminate server-side session state by encoding authenticated user claims, role attributes, and expiration timestamps within a digitally signed, cryptographically verifiable token. Every protected REST endpoint validates the cryptographic signature using HMAC-SHA256, enabling instant authorization checks across distributed compute instances.</w:t>
      </w:r>
    </w:p>
    <w:p>
      <w:pPr>
        <w:keepNext/>
        <w:spacing w:before="160" w:after="50"/>
      </w:pPr>
      <w:r>
        <w:rPr>
          <w:rFonts w:ascii="Calibri" w:hAnsi="Calibri"/>
          <w:b/>
          <w:color w:val="1E3A8A"/>
          <w:sz w:val="24"/>
        </w:rPr>
        <w:t>2.3 Cryptographic File Protection &amp; Authenticated Encryption</w:t>
      </w:r>
    </w:p>
    <w:p>
      <w:pPr>
        <w:spacing w:before="0" w:after="70" w:line="269" w:lineRule="auto"/>
        <w:jc w:val="both"/>
      </w:pPr>
      <w:r>
        <w:rPr>
          <w:rFonts w:ascii="Calibri" w:hAnsi="Calibri"/>
          <w:color w:val="1F2937"/>
          <w:sz w:val="20"/>
        </w:rPr>
        <w:t>Symmetric block ciphers form the computational backbone of high-throughput data protection. The Advanced Encryption Standard (AES), standardized under NIST FIPS 197, specifies an iterative substitution-permutation network operating on 128-bit blocks using 128, 192, or 256-bit keys. However, block ciphers require an operational mode to encrypt variable-length data streams. Conventional confidentiality-only modes—such as Cipher Block Chaining (CBC) and Counter (CTR) mode—suffer from severe vulnerability to active tampering. In CBC mode, an adversary capable of intercepting ciphertext can manipulate initialization vectors or exploit padding oracle vulnerabilities to decipher plaintext blocks without knowing the key.</w:t>
      </w:r>
    </w:p>
    <w:p>
      <w:pPr>
        <w:spacing w:before="0" w:after="70" w:line="269" w:lineRule="auto"/>
        <w:jc w:val="both"/>
      </w:pPr>
      <w:r>
        <w:rPr>
          <w:rFonts w:ascii="Calibri" w:hAnsi="Calibri"/>
          <w:color w:val="1F2937"/>
          <w:sz w:val="20"/>
        </w:rPr>
        <w:t>To guarantee both confidentiality and integrity simultaneously, modern cryptographic engineering requires Authenticated Encryption with Associated Data (AEAD). Standardized under NIST SP 800-38D, Galois/Counter Mode (GCM) combines CTR mode encryption with universal hashing over a binary Galois field (GF(2^128)) to produce an authentication tag. AES-256-GCM ensures that any unauthorized bit manipulation in the ciphertext or associated metadata causes tag verification to fail catastrophically during decryption, halting processing before any corrupted plaintext is released.</w:t>
      </w:r>
    </w:p>
    <w:p>
      <w:pPr>
        <w:keepNext/>
        <w:spacing w:before="160" w:after="50"/>
      </w:pPr>
      <w:r>
        <w:rPr>
          <w:rFonts w:ascii="Calibri" w:hAnsi="Calibri"/>
          <w:b/>
          <w:color w:val="1E3A8A"/>
          <w:sz w:val="24"/>
        </w:rPr>
        <w:t>2.4 Cloud Key Management &amp; Secure Object Storage</w:t>
      </w:r>
    </w:p>
    <w:p>
      <w:pPr>
        <w:spacing w:before="0" w:after="70" w:line="269" w:lineRule="auto"/>
        <w:jc w:val="both"/>
      </w:pPr>
      <w:r>
        <w:rPr>
          <w:rFonts w:ascii="Calibri" w:hAnsi="Calibri"/>
          <w:color w:val="1F2937"/>
          <w:sz w:val="20"/>
        </w:rPr>
        <w:t>Cryptographic algorithms are only as secure as the key management architecture supporting them. In naive implementations, encryption keys are frequently stored adjacent to ciphertext or embedded within client-side code repositories, resulting in total compromise upon unauthorized database access. Robust cloud security architectures solve this problem through Envelope Encryption. Under this hierarchical approach, file payloads are encrypted using unique, short-lived Data Encryption Keys (DEKs). The DEK is subsequently encrypted (wrapped) under a long-lived Master Key Encryption Key (KEK). Cloud key management services, such as AWS KMS and HashiCorp Vault, maintain the Master KEK inside dedicated Hardware Security Modules (HSMs), ensuring that raw master keys never leave the secure hardware boundary.</w:t>
      </w:r>
    </w:p>
    <w:p>
      <w:pPr>
        <w:keepNext/>
        <w:spacing w:before="160" w:after="50"/>
      </w:pPr>
      <w:r>
        <w:rPr>
          <w:rFonts w:ascii="Calibri" w:hAnsi="Calibri"/>
          <w:b/>
          <w:color w:val="1E3A8A"/>
          <w:sz w:val="24"/>
        </w:rPr>
        <w:t>2.5 Comparative Gap Analysis &amp; Project Motivation</w:t>
      </w:r>
    </w:p>
    <w:p>
      <w:pPr>
        <w:spacing w:before="0" w:after="70" w:line="269" w:lineRule="auto"/>
        <w:jc w:val="both"/>
      </w:pPr>
      <w:r>
        <w:rPr>
          <w:rFonts w:ascii="Calibri" w:hAnsi="Calibri"/>
          <w:color w:val="1F2937"/>
          <w:sz w:val="20"/>
        </w:rPr>
        <w:t>A comparative evaluation between conventional storage portals, vendor-managed cloud encryption, and application-level authenticated encryption is summarized in Table 2.1.</w:t>
      </w:r>
    </w:p>
    <w:p>
      <w:pPr>
        <w:spacing w:before="80" w:after="40"/>
      </w:pPr>
      <w:r>
        <w:rPr>
          <w:b/>
          <w:color w:val="1E3A8A"/>
          <w:sz w:val="17"/>
        </w:rPr>
        <w:t>Table 2.1: Comparison between Traditional Storage, Cloud SSE, and AFES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Header/>
      </w:tblPr>
      <w:tblGrid>
        <w:gridCol w:w="2340"/>
        <w:gridCol w:w="2340"/>
        <w:gridCol w:w="2340"/>
        <w:gridCol w:w="2340"/>
      </w:tblGrid>
      <w:tr>
        <w:tc>
          <w:tcPr>
            <w:tcW w:type="dxa" w:w="2592"/>
            <w:tcMar>
              <w:top w:w="80" w:type="dxa"/>
              <w:bottom w:w="80" w:type="dxa"/>
              <w:left w:w="120" w:type="dxa"/>
              <w:right w:w="120" w:type="dxa"/>
            </w:tcMar>
            <w:shd w:fill="0F172A"/>
          </w:tcPr>
          <w:p>
            <w:pPr>
              <w:spacing w:before="0" w:after="0"/>
              <w:jc w:val="left"/>
            </w:pPr>
            <w:r>
              <w:rPr>
                <w:rFonts w:ascii="Calibri" w:hAnsi="Calibri"/>
                <w:b/>
                <w:color w:val="FFFFFF"/>
                <w:sz w:val="17"/>
              </w:rPr>
              <w:t>Functional Capability</w:t>
            </w:r>
          </w:p>
        </w:tc>
        <w:tc>
          <w:tcPr>
            <w:tcW w:type="dxa" w:w="2160"/>
            <w:tcMar>
              <w:top w:w="80" w:type="dxa"/>
              <w:bottom w:w="80" w:type="dxa"/>
              <w:left w:w="120" w:type="dxa"/>
              <w:right w:w="120" w:type="dxa"/>
            </w:tcMar>
            <w:shd w:fill="0F172A"/>
          </w:tcPr>
          <w:p>
            <w:pPr>
              <w:spacing w:before="0" w:after="0"/>
              <w:jc w:val="left"/>
            </w:pPr>
            <w:r>
              <w:rPr>
                <w:rFonts w:ascii="Calibri" w:hAnsi="Calibri"/>
                <w:b/>
                <w:color w:val="FFFFFF"/>
                <w:sz w:val="17"/>
              </w:rPr>
              <w:t>Traditional File Storage</w:t>
            </w:r>
          </w:p>
        </w:tc>
        <w:tc>
          <w:tcPr>
            <w:tcW w:type="dxa" w:w="2304"/>
            <w:tcMar>
              <w:top w:w="80" w:type="dxa"/>
              <w:bottom w:w="80" w:type="dxa"/>
              <w:left w:w="120" w:type="dxa"/>
              <w:right w:w="120" w:type="dxa"/>
            </w:tcMar>
            <w:shd w:fill="0F172A"/>
          </w:tcPr>
          <w:p>
            <w:pPr>
              <w:spacing w:before="0" w:after="0"/>
              <w:jc w:val="left"/>
            </w:pPr>
            <w:r>
              <w:rPr>
                <w:rFonts w:ascii="Calibri" w:hAnsi="Calibri"/>
                <w:b/>
                <w:color w:val="FFFFFF"/>
                <w:sz w:val="17"/>
              </w:rPr>
              <w:t>Cloud Provider SSE (AWS S3)</w:t>
            </w:r>
          </w:p>
        </w:tc>
        <w:tc>
          <w:tcPr>
            <w:tcW w:type="dxa" w:w="2304"/>
            <w:tcMar>
              <w:top w:w="80" w:type="dxa"/>
              <w:bottom w:w="80" w:type="dxa"/>
              <w:left w:w="120" w:type="dxa"/>
              <w:right w:w="120" w:type="dxa"/>
            </w:tcMar>
            <w:shd w:fill="0F172A"/>
          </w:tcPr>
          <w:p>
            <w:pPr>
              <w:spacing w:before="0" w:after="0"/>
              <w:jc w:val="left"/>
            </w:pPr>
            <w:r>
              <w:rPr>
                <w:rFonts w:ascii="Calibri" w:hAnsi="Calibri"/>
                <w:b/>
                <w:color w:val="FFFFFF"/>
                <w:sz w:val="17"/>
              </w:rPr>
              <w:t>AFES (Our Proposed System)</w:t>
            </w:r>
          </w:p>
        </w:tc>
      </w:tr>
      <w:tr>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Confidentiality Tier</w:t>
            </w:r>
          </w:p>
        </w:tc>
        <w:tc>
          <w:tcPr>
            <w:tcW w:type="dxa" w:w="2160"/>
            <w:tcMar>
              <w:top w:w="60" w:type="dxa"/>
              <w:bottom w:w="60" w:type="dxa"/>
              <w:left w:w="120" w:type="dxa"/>
              <w:right w:w="120" w:type="dxa"/>
            </w:tcMar>
            <w:shd w:fill="FFFFFF"/>
          </w:tcPr>
          <w:p>
            <w:pPr>
              <w:spacing w:before="0" w:after="0" w:line="245" w:lineRule="auto"/>
              <w:jc w:val="left"/>
            </w:pPr>
            <w:r>
              <w:rPr>
                <w:rFonts w:ascii="Calibri" w:hAnsi="Calibri"/>
                <w:color w:val="1F2937"/>
                <w:sz w:val="16"/>
              </w:rPr>
              <w:t>OS permissions / None</w:t>
            </w:r>
          </w:p>
        </w:tc>
        <w:tc>
          <w:tcPr>
            <w:tcW w:type="dxa" w:w="2304"/>
            <w:tcMar>
              <w:top w:w="60" w:type="dxa"/>
              <w:bottom w:w="60" w:type="dxa"/>
              <w:left w:w="120" w:type="dxa"/>
              <w:right w:w="120" w:type="dxa"/>
            </w:tcMar>
            <w:shd w:fill="FFFFFF"/>
          </w:tcPr>
          <w:p>
            <w:pPr>
              <w:spacing w:before="0" w:after="0" w:line="245" w:lineRule="auto"/>
              <w:jc w:val="left"/>
            </w:pPr>
            <w:r>
              <w:rPr>
                <w:rFonts w:ascii="Calibri" w:hAnsi="Calibri"/>
                <w:color w:val="1F2937"/>
                <w:sz w:val="16"/>
              </w:rPr>
              <w:t>Storage-level disk encryption</w:t>
            </w:r>
          </w:p>
        </w:tc>
        <w:tc>
          <w:tcPr>
            <w:tcW w:type="dxa" w:w="2304"/>
            <w:tcMar>
              <w:top w:w="60" w:type="dxa"/>
              <w:bottom w:w="60" w:type="dxa"/>
              <w:left w:w="120" w:type="dxa"/>
              <w:right w:w="120" w:type="dxa"/>
            </w:tcMar>
            <w:shd w:fill="FFFFFF"/>
          </w:tcPr>
          <w:p>
            <w:pPr>
              <w:spacing w:before="0" w:after="0" w:line="245" w:lineRule="auto"/>
              <w:jc w:val="left"/>
            </w:pPr>
            <w:r>
              <w:rPr>
                <w:rFonts w:ascii="Calibri" w:hAnsi="Calibri"/>
                <w:color w:val="1F2937"/>
                <w:sz w:val="16"/>
              </w:rPr>
              <w:t>Application-level AES-256-GCM</w:t>
            </w:r>
          </w:p>
        </w:tc>
      </w:tr>
      <w:tr>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Tamper Integrity</w:t>
            </w:r>
          </w:p>
        </w:tc>
        <w:tc>
          <w:tcPr>
            <w:tcW w:type="dxa" w:w="2160"/>
            <w:tcMar>
              <w:top w:w="60" w:type="dxa"/>
              <w:bottom w:w="60" w:type="dxa"/>
              <w:left w:w="120" w:type="dxa"/>
              <w:right w:w="120" w:type="dxa"/>
            </w:tcMar>
            <w:shd w:fill="F8FAFC"/>
          </w:tcPr>
          <w:p>
            <w:pPr>
              <w:spacing w:before="0" w:after="0" w:line="245" w:lineRule="auto"/>
              <w:jc w:val="left"/>
            </w:pPr>
            <w:r>
              <w:rPr>
                <w:rFonts w:ascii="Calibri" w:hAnsi="Calibri"/>
                <w:color w:val="1F2937"/>
                <w:sz w:val="16"/>
              </w:rPr>
              <w:t>None (Silent bit-rot/tamper)</w:t>
            </w:r>
          </w:p>
        </w:tc>
        <w:tc>
          <w:tcPr>
            <w:tcW w:type="dxa" w:w="2304"/>
            <w:tcMar>
              <w:top w:w="60" w:type="dxa"/>
              <w:bottom w:w="60" w:type="dxa"/>
              <w:left w:w="120" w:type="dxa"/>
              <w:right w:w="120" w:type="dxa"/>
            </w:tcMar>
            <w:shd w:fill="F8FAFC"/>
          </w:tcPr>
          <w:p>
            <w:pPr>
              <w:spacing w:before="0" w:after="0" w:line="245" w:lineRule="auto"/>
              <w:jc w:val="left"/>
            </w:pPr>
            <w:r>
              <w:rPr>
                <w:rFonts w:ascii="Calibri" w:hAnsi="Calibri"/>
                <w:color w:val="1F2937"/>
                <w:sz w:val="16"/>
              </w:rPr>
              <w:t>Transport TLS only</w:t>
            </w:r>
          </w:p>
        </w:tc>
        <w:tc>
          <w:tcPr>
            <w:tcW w:type="dxa" w:w="2304"/>
            <w:tcMar>
              <w:top w:w="60" w:type="dxa"/>
              <w:bottom w:w="60" w:type="dxa"/>
              <w:left w:w="120" w:type="dxa"/>
              <w:right w:w="120" w:type="dxa"/>
            </w:tcMar>
            <w:shd w:fill="F8FAFC"/>
          </w:tcPr>
          <w:p>
            <w:pPr>
              <w:spacing w:before="0" w:after="0" w:line="245" w:lineRule="auto"/>
              <w:jc w:val="left"/>
            </w:pPr>
            <w:r>
              <w:rPr>
                <w:rFonts w:ascii="Calibri" w:hAnsi="Calibri"/>
                <w:color w:val="1F2937"/>
                <w:sz w:val="16"/>
              </w:rPr>
              <w:t>128-bit GCM Tag + AAD Binding</w:t>
            </w:r>
          </w:p>
        </w:tc>
      </w:tr>
      <w:tr>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Key Management</w:t>
            </w:r>
          </w:p>
        </w:tc>
        <w:tc>
          <w:tcPr>
            <w:tcW w:type="dxa" w:w="2160"/>
            <w:tcMar>
              <w:top w:w="60" w:type="dxa"/>
              <w:bottom w:w="60" w:type="dxa"/>
              <w:left w:w="120" w:type="dxa"/>
              <w:right w:w="120" w:type="dxa"/>
            </w:tcMar>
            <w:shd w:fill="FFFFFF"/>
          </w:tcPr>
          <w:p>
            <w:pPr>
              <w:spacing w:before="0" w:after="0" w:line="245" w:lineRule="auto"/>
              <w:jc w:val="left"/>
            </w:pPr>
            <w:r>
              <w:rPr>
                <w:rFonts w:ascii="Calibri" w:hAnsi="Calibri"/>
                <w:color w:val="1F2937"/>
                <w:sz w:val="16"/>
              </w:rPr>
              <w:t>Local static key / None</w:t>
            </w:r>
          </w:p>
        </w:tc>
        <w:tc>
          <w:tcPr>
            <w:tcW w:type="dxa" w:w="2304"/>
            <w:tcMar>
              <w:top w:w="60" w:type="dxa"/>
              <w:bottom w:w="60" w:type="dxa"/>
              <w:left w:w="120" w:type="dxa"/>
              <w:right w:w="120" w:type="dxa"/>
            </w:tcMar>
            <w:shd w:fill="FFFFFF"/>
          </w:tcPr>
          <w:p>
            <w:pPr>
              <w:spacing w:before="0" w:after="0" w:line="245" w:lineRule="auto"/>
              <w:jc w:val="left"/>
            </w:pPr>
            <w:r>
              <w:rPr>
                <w:rFonts w:ascii="Calibri" w:hAnsi="Calibri"/>
                <w:color w:val="1F2937"/>
                <w:sz w:val="16"/>
              </w:rPr>
              <w:t>Vendor managed KMS keys</w:t>
            </w:r>
          </w:p>
        </w:tc>
        <w:tc>
          <w:tcPr>
            <w:tcW w:type="dxa" w:w="2304"/>
            <w:tcMar>
              <w:top w:w="60" w:type="dxa"/>
              <w:bottom w:w="60" w:type="dxa"/>
              <w:left w:w="120" w:type="dxa"/>
              <w:right w:w="120" w:type="dxa"/>
            </w:tcMar>
            <w:shd w:fill="FFFFFF"/>
          </w:tcPr>
          <w:p>
            <w:pPr>
              <w:spacing w:before="0" w:after="0" w:line="245" w:lineRule="auto"/>
              <w:jc w:val="left"/>
            </w:pPr>
            <w:r>
              <w:rPr>
                <w:rFonts w:ascii="Calibri" w:hAnsi="Calibri"/>
                <w:color w:val="1F2937"/>
                <w:sz w:val="16"/>
              </w:rPr>
              <w:t>Envelope hierarchy (DEK wrapped by KEK)</w:t>
            </w:r>
          </w:p>
        </w:tc>
      </w:tr>
      <w:tr>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Bucket Misconfig Risk</w:t>
            </w:r>
          </w:p>
        </w:tc>
        <w:tc>
          <w:tcPr>
            <w:tcW w:type="dxa" w:w="2160"/>
            <w:tcMar>
              <w:top w:w="60" w:type="dxa"/>
              <w:bottom w:w="60" w:type="dxa"/>
              <w:left w:w="120" w:type="dxa"/>
              <w:right w:w="120" w:type="dxa"/>
            </w:tcMar>
            <w:shd w:fill="F8FAFC"/>
          </w:tcPr>
          <w:p>
            <w:pPr>
              <w:spacing w:before="0" w:after="0" w:line="245" w:lineRule="auto"/>
              <w:jc w:val="left"/>
            </w:pPr>
            <w:r>
              <w:rPr>
                <w:rFonts w:ascii="Calibri" w:hAnsi="Calibri"/>
                <w:color w:val="1F2937"/>
                <w:sz w:val="16"/>
              </w:rPr>
              <w:t>Not applicable</w:t>
            </w:r>
          </w:p>
        </w:tc>
        <w:tc>
          <w:tcPr>
            <w:tcW w:type="dxa" w:w="2304"/>
            <w:tcMar>
              <w:top w:w="60" w:type="dxa"/>
              <w:bottom w:w="60" w:type="dxa"/>
              <w:left w:w="120" w:type="dxa"/>
              <w:right w:w="120" w:type="dxa"/>
            </w:tcMar>
            <w:shd w:fill="F8FAFC"/>
          </w:tcPr>
          <w:p>
            <w:pPr>
              <w:spacing w:before="0" w:after="0" w:line="245" w:lineRule="auto"/>
              <w:jc w:val="left"/>
            </w:pPr>
            <w:r>
              <w:rPr>
                <w:rFonts w:ascii="Calibri" w:hAnsi="Calibri"/>
                <w:color w:val="1F2937"/>
                <w:sz w:val="16"/>
              </w:rPr>
              <w:t>Plaintext exposed if public</w:t>
            </w:r>
          </w:p>
        </w:tc>
        <w:tc>
          <w:tcPr>
            <w:tcW w:type="dxa" w:w="2304"/>
            <w:tcMar>
              <w:top w:w="60" w:type="dxa"/>
              <w:bottom w:w="60" w:type="dxa"/>
              <w:left w:w="120" w:type="dxa"/>
              <w:right w:w="120" w:type="dxa"/>
            </w:tcMar>
            <w:shd w:fill="F8FAFC"/>
          </w:tcPr>
          <w:p>
            <w:pPr>
              <w:spacing w:before="0" w:after="0" w:line="245" w:lineRule="auto"/>
              <w:jc w:val="left"/>
            </w:pPr>
            <w:r>
              <w:rPr>
                <w:rFonts w:ascii="Calibri" w:hAnsi="Calibri"/>
                <w:color w:val="1F2937"/>
                <w:sz w:val="16"/>
              </w:rPr>
              <w:t>Ciphertext remains safe even if public</w:t>
            </w:r>
          </w:p>
        </w:tc>
      </w:tr>
      <w:tr>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Access Authorization</w:t>
            </w:r>
          </w:p>
        </w:tc>
        <w:tc>
          <w:tcPr>
            <w:tcW w:type="dxa" w:w="2160"/>
            <w:tcMar>
              <w:top w:w="60" w:type="dxa"/>
              <w:bottom w:w="60" w:type="dxa"/>
              <w:left w:w="120" w:type="dxa"/>
              <w:right w:w="120" w:type="dxa"/>
            </w:tcMar>
            <w:shd w:fill="FFFFFF"/>
          </w:tcPr>
          <w:p>
            <w:pPr>
              <w:spacing w:before="0" w:after="0" w:line="245" w:lineRule="auto"/>
              <w:jc w:val="left"/>
            </w:pPr>
            <w:r>
              <w:rPr>
                <w:rFonts w:ascii="Calibri" w:hAnsi="Calibri"/>
                <w:color w:val="1F2937"/>
                <w:sz w:val="16"/>
              </w:rPr>
              <w:t>Local filesystem ACLs</w:t>
            </w:r>
          </w:p>
        </w:tc>
        <w:tc>
          <w:tcPr>
            <w:tcW w:type="dxa" w:w="2304"/>
            <w:tcMar>
              <w:top w:w="60" w:type="dxa"/>
              <w:bottom w:w="60" w:type="dxa"/>
              <w:left w:w="120" w:type="dxa"/>
              <w:right w:w="120" w:type="dxa"/>
            </w:tcMar>
            <w:shd w:fill="FFFFFF"/>
          </w:tcPr>
          <w:p>
            <w:pPr>
              <w:spacing w:before="0" w:after="0" w:line="245" w:lineRule="auto"/>
              <w:jc w:val="left"/>
            </w:pPr>
            <w:r>
              <w:rPr>
                <w:rFonts w:ascii="Calibri" w:hAnsi="Calibri"/>
                <w:color w:val="1F2937"/>
                <w:sz w:val="16"/>
              </w:rPr>
              <w:t>IAM policies / Bucket ACLs</w:t>
            </w:r>
          </w:p>
        </w:tc>
        <w:tc>
          <w:tcPr>
            <w:tcW w:type="dxa" w:w="2304"/>
            <w:tcMar>
              <w:top w:w="60" w:type="dxa"/>
              <w:bottom w:w="60" w:type="dxa"/>
              <w:left w:w="120" w:type="dxa"/>
              <w:right w:w="120" w:type="dxa"/>
            </w:tcMar>
            <w:shd w:fill="FFFFFF"/>
          </w:tcPr>
          <w:p>
            <w:pPr>
              <w:spacing w:before="0" w:after="0" w:line="245" w:lineRule="auto"/>
              <w:jc w:val="left"/>
            </w:pPr>
            <w:r>
              <w:rPr>
                <w:rFonts w:ascii="Calibri" w:hAnsi="Calibri"/>
                <w:color w:val="1F2937"/>
                <w:sz w:val="16"/>
              </w:rPr>
              <w:t>Strict JWT + Server-Side RBAC &amp; Audit</w:t>
            </w:r>
          </w:p>
        </w:tc>
      </w:tr>
    </w:tbl>
    <w:p>
      <w:pPr>
        <w:spacing w:before="0" w:after="60"/>
      </w:pPr>
    </w:p>
    <w:p>
      <w:r>
        <w:br w:type="page"/>
      </w:r>
    </w:p>
    <w:p>
      <w:pPr>
        <w:keepNext/>
        <w:spacing w:before="200" w:after="100"/>
      </w:pPr>
      <w:r>
        <w:rPr>
          <w:rFonts w:ascii="Calibri" w:hAnsi="Calibri"/>
          <w:b/>
          <w:color w:val="0F172A"/>
          <w:sz w:val="30"/>
        </w:rPr>
        <w:t>CHAPTER 3: SYSTEM ARCHITECTURE &amp; METHODOLOGY</w:t>
      </w:r>
    </w:p>
    <w:p>
      <w:pPr>
        <w:keepNext/>
        <w:spacing w:before="160" w:after="50"/>
      </w:pPr>
      <w:r>
        <w:rPr>
          <w:rFonts w:ascii="Calibri" w:hAnsi="Calibri"/>
          <w:b/>
          <w:color w:val="1E3A8A"/>
          <w:sz w:val="24"/>
        </w:rPr>
        <w:t>3.1 Overall Layered Architecture</w:t>
      </w:r>
    </w:p>
    <w:p>
      <w:pPr>
        <w:spacing w:before="0" w:after="70" w:line="269" w:lineRule="auto"/>
        <w:jc w:val="both"/>
      </w:pPr>
      <w:r>
        <w:rPr>
          <w:rFonts w:ascii="Calibri" w:hAnsi="Calibri"/>
          <w:color w:val="1F2937"/>
          <w:sz w:val="20"/>
        </w:rPr>
        <w:t>The Authenticated File Encryption System (AFES) is architectured as an enterprise-grade, three-tier cloud security platform engineered for high modularity, cryptographic correctness, and horizontal scalability. The design decouples concerns across client presentation, backend application orchestration, relational metadata persistence, and object storage tiers, as illustrated in Figure 3.1.</w:t>
      </w:r>
    </w:p>
    <w:p>
      <w:pPr>
        <w:spacing w:before="0" w:after="70" w:line="269" w:lineRule="auto"/>
        <w:jc w:val="both"/>
      </w:pPr>
      <w:r>
        <w:rPr>
          <w:rFonts w:ascii="Calibri" w:hAnsi="Calibri"/>
          <w:color w:val="1F2937"/>
          <w:sz w:val="20"/>
        </w:rPr>
        <w:t>1. Presentation Tier: Developed in React 18, TypeScript, and Tailwind CSS. The client interface communicates asynchronously with the backend via authenticated RESTful endpoints using Axios. It provides intuitive views for onboarding, drag-and-drop file encryption, file management, security telemetry inspection, and cloud infrastructure diagnostics.</w:t>
      </w:r>
    </w:p>
    <w:p>
      <w:pPr>
        <w:spacing w:before="0" w:after="70" w:line="269" w:lineRule="auto"/>
        <w:jc w:val="both"/>
      </w:pPr>
      <w:r>
        <w:rPr>
          <w:rFonts w:ascii="Calibri" w:hAnsi="Calibri"/>
          <w:color w:val="1F2937"/>
          <w:sz w:val="20"/>
        </w:rPr>
        <w:t>2. Application &amp; Cryptographic Engine Tier: Implemented in Python 3.12+ utilizing FastAPI and Pydantic v2. It hosts core services including Argon2id password hashing, JWT authentication dependencies, the AES-256-GCM cryptographic engine, the envelope key management service, and the sanitized audit telemetry logger.</w:t>
      </w:r>
    </w:p>
    <w:p>
      <w:pPr>
        <w:spacing w:before="0" w:after="70" w:line="269" w:lineRule="auto"/>
        <w:jc w:val="both"/>
      </w:pPr>
      <w:r>
        <w:rPr>
          <w:rFonts w:ascii="Calibri" w:hAnsi="Calibri"/>
          <w:color w:val="1F2937"/>
          <w:sz w:val="20"/>
        </w:rPr>
        <w:t>3. Persistence &amp; Cloud Object Storage Tier: Divides storage into a relational SQL database (SQLite with WAL mode for development, PostgreSQL for production) storing user records, file metadata, non-secret parameters, and audit events; and an abstract object storage provider connecting to AWS S3 or MinIO buckets containing exclusively encrypted ciphertext objects.</w:t>
      </w:r>
    </w:p>
    <w:p>
      <w:pPr>
        <w:spacing w:before="80" w:after="20"/>
        <w:jc w:val="center"/>
      </w:pPr>
      <w:r>
        <w:drawing>
          <wp:inline xmlns:a="http://schemas.openxmlformats.org/drawingml/2006/main" xmlns:pic="http://schemas.openxmlformats.org/drawingml/2006/picture">
            <wp:extent cx="4572000" cy="2955636"/>
            <wp:docPr id="1" name="Picture 1"/>
            <wp:cNvGraphicFramePr>
              <a:graphicFrameLocks noChangeAspect="1"/>
            </wp:cNvGraphicFramePr>
            <a:graphic>
              <a:graphicData uri="http://schemas.openxmlformats.org/drawingml/2006/picture">
                <pic:pic>
                  <pic:nvPicPr>
                    <pic:cNvPr id="0" name="fig3_1_architecture.png"/>
                    <pic:cNvPicPr/>
                  </pic:nvPicPr>
                  <pic:blipFill>
                    <a:blip r:embed="rId11"/>
                    <a:stretch>
                      <a:fillRect/>
                    </a:stretch>
                  </pic:blipFill>
                  <pic:spPr>
                    <a:xfrm>
                      <a:off x="0" y="0"/>
                      <a:ext cx="4572000" cy="2955636"/>
                    </a:xfrm>
                    <a:prstGeom prst="rect"/>
                  </pic:spPr>
                </pic:pic>
              </a:graphicData>
            </a:graphic>
          </wp:inline>
        </w:drawing>
      </w:r>
    </w:p>
    <w:p>
      <w:pPr>
        <w:spacing w:before="20" w:after="100"/>
        <w:jc w:val="center"/>
      </w:pPr>
      <w:r>
        <w:rPr>
          <w:rFonts w:ascii="Calibri" w:hAnsi="Calibri"/>
          <w:b/>
          <w:color w:val="1E3A8A"/>
          <w:sz w:val="18"/>
        </w:rPr>
        <w:t>Figure 3.1: Three-Tier Cloud Security Architecture of AFES</w:t>
      </w:r>
    </w:p>
    <w:p>
      <w:pPr>
        <w:keepNext/>
        <w:spacing w:before="160" w:after="50"/>
      </w:pPr>
      <w:r>
        <w:rPr>
          <w:rFonts w:ascii="Calibri" w:hAnsi="Calibri"/>
          <w:b/>
          <w:color w:val="1E3A8A"/>
          <w:sz w:val="24"/>
        </w:rPr>
        <w:t>3.2 Authentication &amp; Authorization Workflow</w:t>
      </w:r>
    </w:p>
    <w:p>
      <w:pPr>
        <w:spacing w:before="0" w:after="70" w:line="269" w:lineRule="auto"/>
        <w:jc w:val="both"/>
      </w:pPr>
      <w:r>
        <w:rPr>
          <w:rFonts w:ascii="Calibri" w:hAnsi="Calibri"/>
          <w:color w:val="1F2937"/>
          <w:sz w:val="20"/>
        </w:rPr>
        <w:t>The authentication and authorization subsystem enforces zero-trust access control across all protected system endpoints. As detailed in Figure 3.2, user onboarding begins with client input validation enforced via Pydantic schemas. Passwords must satisfy complexity constraints (minimum 8 characters, uppercase, lowercase, and numeric digits). The backend hashes the plaintext password using Argon2id with 64 MiB memory cost, 3 time iterations, and 1 parallelism thread.</w:t>
      </w:r>
    </w:p>
    <w:p>
      <w:pPr>
        <w:spacing w:before="0" w:after="70" w:line="269" w:lineRule="auto"/>
        <w:jc w:val="both"/>
      </w:pPr>
      <w:r>
        <w:rPr>
          <w:rFonts w:ascii="Calibri" w:hAnsi="Calibri"/>
          <w:color w:val="1F2937"/>
          <w:sz w:val="20"/>
        </w:rPr>
        <w:t>Upon successful authentication, the backend mints a signed JWT access token encoding the user's primary key (`sub`), role attribute, and a 30-minute expiration window. When a tenant requests file operations (download, decryption, or deletion), the server extracts the bearer token, validates the cryptographic signature, and executes an explicit ownership check: `file_record.owner_id == current_user.id`. If a tenant attempts to reference an object owned by another tenant, the request is rejected with HTTP 403 Forbidden, and an `UNAUTHORIZED_ACCESS` security event is written to the audit log.</w:t>
      </w:r>
    </w:p>
    <w:p>
      <w:pPr>
        <w:spacing w:before="80" w:after="20"/>
        <w:jc w:val="center"/>
      </w:pPr>
      <w:r>
        <w:drawing>
          <wp:inline xmlns:a="http://schemas.openxmlformats.org/drawingml/2006/main" xmlns:pic="http://schemas.openxmlformats.org/drawingml/2006/picture">
            <wp:extent cx="4206240" cy="3247856"/>
            <wp:docPr id="2" name="Picture 2"/>
            <wp:cNvGraphicFramePr>
              <a:graphicFrameLocks noChangeAspect="1"/>
            </wp:cNvGraphicFramePr>
            <a:graphic>
              <a:graphicData uri="http://schemas.openxmlformats.org/drawingml/2006/picture">
                <pic:pic>
                  <pic:nvPicPr>
                    <pic:cNvPr id="0" name="fig3_2_auth_flowchart.png"/>
                    <pic:cNvPicPr/>
                  </pic:nvPicPr>
                  <pic:blipFill>
                    <a:blip r:embed="rId12"/>
                    <a:stretch>
                      <a:fillRect/>
                    </a:stretch>
                  </pic:blipFill>
                  <pic:spPr>
                    <a:xfrm>
                      <a:off x="0" y="0"/>
                      <a:ext cx="4206240" cy="3247856"/>
                    </a:xfrm>
                    <a:prstGeom prst="rect"/>
                  </pic:spPr>
                </pic:pic>
              </a:graphicData>
            </a:graphic>
          </wp:inline>
        </w:drawing>
      </w:r>
    </w:p>
    <w:p>
      <w:pPr>
        <w:spacing w:before="20" w:after="100"/>
        <w:jc w:val="center"/>
      </w:pPr>
      <w:r>
        <w:rPr>
          <w:rFonts w:ascii="Calibri" w:hAnsi="Calibri"/>
          <w:b/>
          <w:color w:val="1E3A8A"/>
          <w:sz w:val="18"/>
        </w:rPr>
        <w:t>Figure 3.2: User Authentication and Authorization Flowchart</w:t>
      </w:r>
    </w:p>
    <w:p>
      <w:pPr>
        <w:keepNext/>
        <w:spacing w:before="160" w:after="50"/>
      </w:pPr>
      <w:r>
        <w:rPr>
          <w:rFonts w:ascii="Calibri" w:hAnsi="Calibri"/>
          <w:b/>
          <w:color w:val="1E3A8A"/>
          <w:sz w:val="24"/>
        </w:rPr>
        <w:t>3.3 File Encryption &amp; Decryption Methodology</w:t>
      </w:r>
    </w:p>
    <w:p>
      <w:pPr>
        <w:spacing w:before="0" w:after="70" w:line="269" w:lineRule="auto"/>
        <w:jc w:val="both"/>
      </w:pPr>
      <w:r>
        <w:rPr>
          <w:rFonts w:ascii="Calibri" w:hAnsi="Calibri"/>
          <w:color w:val="1F2937"/>
          <w:sz w:val="20"/>
        </w:rPr>
        <w:t>The cryptographic workflow of AFES is organized into two symmetrical, mathematically validated phases, as depicted in Figure 3.3.</w:t>
      </w:r>
    </w:p>
    <w:p>
      <w:pPr>
        <w:spacing w:before="0" w:after="70" w:line="269" w:lineRule="auto"/>
        <w:jc w:val="both"/>
      </w:pPr>
      <w:r>
        <w:rPr>
          <w:rFonts w:ascii="Calibri" w:hAnsi="Calibri"/>
          <w:color w:val="1F2937"/>
          <w:sz w:val="20"/>
        </w:rPr>
        <w:t>Phase 1: Encryption &amp; Cloud Ingestion: When an authorized user uploads a file, the backend generates an ephemeral 32-byte (256-bit) Data Encryption Key (DEK) and a fresh 12-byte (96-bit) random nonce using `secrets.token_bytes`. The payload is encrypted with AES-256-GCM. Crucially, the owner ID and normalized filename are bound into the encryption operation as Authenticated Additional Data (AAD) formatted as: `AFES:v1:&lt;owner_id&gt;:&lt;filename&gt;`. The DEK is then wrapped under the Master KEK using AES-256-GCM, producing a 60-byte wrapped key envelope. The resulting ciphertext is stored in cloud object storage under a sanitized key (`users/{user_id}/{hash}_{filename}.enc`), while metadata, nonce, and wrapped DEK are committed to the SQL database.</w:t>
      </w:r>
    </w:p>
    <w:p>
      <w:pPr>
        <w:spacing w:before="0" w:after="70" w:line="269" w:lineRule="auto"/>
        <w:jc w:val="both"/>
      </w:pPr>
      <w:r>
        <w:rPr>
          <w:rFonts w:ascii="Calibri" w:hAnsi="Calibri"/>
          <w:color w:val="1F2937"/>
          <w:sz w:val="20"/>
        </w:rPr>
        <w:t>Phase 2: Authorized Retrieval &amp; Decryption: When the owner requests file download, the backend queries the database, verifies ownership, and fetches the ciphertext from cloud storage. The Master KEK unwraps the stored DEK. The AES-256-GCM engine reconstructs the exact AAD string and verifies the 128-bit authentication tag. If the tag is valid, the original plaintext is streamed to the user. If the ciphertext has been modified or the owner ID does not match the bound AAD, tag verification fails, an exception is thrown, HTTP 422 is returned, and zero plaintext bytes are leaked.</w:t>
      </w:r>
    </w:p>
    <w:p>
      <w:pPr>
        <w:spacing w:before="80" w:after="20"/>
        <w:jc w:val="center"/>
      </w:pPr>
      <w:r>
        <w:drawing>
          <wp:inline xmlns:a="http://schemas.openxmlformats.org/drawingml/2006/main" xmlns:pic="http://schemas.openxmlformats.org/drawingml/2006/picture">
            <wp:extent cx="4572000" cy="2817091"/>
            <wp:docPr id="3" name="Picture 3"/>
            <wp:cNvGraphicFramePr>
              <a:graphicFrameLocks noChangeAspect="1"/>
            </wp:cNvGraphicFramePr>
            <a:graphic>
              <a:graphicData uri="http://schemas.openxmlformats.org/drawingml/2006/picture">
                <pic:pic>
                  <pic:nvPicPr>
                    <pic:cNvPr id="0" name="fig3_3_crypto_workflow.png"/>
                    <pic:cNvPicPr/>
                  </pic:nvPicPr>
                  <pic:blipFill>
                    <a:blip r:embed="rId13"/>
                    <a:stretch>
                      <a:fillRect/>
                    </a:stretch>
                  </pic:blipFill>
                  <pic:spPr>
                    <a:xfrm>
                      <a:off x="0" y="0"/>
                      <a:ext cx="4572000" cy="2817091"/>
                    </a:xfrm>
                    <a:prstGeom prst="rect"/>
                  </pic:spPr>
                </pic:pic>
              </a:graphicData>
            </a:graphic>
          </wp:inline>
        </w:drawing>
      </w:r>
    </w:p>
    <w:p>
      <w:pPr>
        <w:spacing w:before="20" w:after="100"/>
        <w:jc w:val="center"/>
      </w:pPr>
      <w:r>
        <w:rPr>
          <w:rFonts w:ascii="Calibri" w:hAnsi="Calibri"/>
          <w:b/>
          <w:color w:val="1E3A8A"/>
          <w:sz w:val="18"/>
        </w:rPr>
        <w:t>Figure 3.3: Dual-Phase Cryptographic &amp; Cloud Storage Workflow</w:t>
      </w:r>
    </w:p>
    <w:p>
      <w:pPr>
        <w:keepNext/>
        <w:spacing w:before="160" w:after="50"/>
      </w:pPr>
      <w:r>
        <w:rPr>
          <w:rFonts w:ascii="Calibri" w:hAnsi="Calibri"/>
          <w:b/>
          <w:color w:val="1E3A8A"/>
          <w:sz w:val="24"/>
        </w:rPr>
        <w:t>3.4 Cloud Object-Storage Integration (AWS S3 &amp; MinIO)</w:t>
      </w:r>
    </w:p>
    <w:p>
      <w:pPr>
        <w:spacing w:before="0" w:after="70" w:line="269" w:lineRule="auto"/>
        <w:jc w:val="both"/>
      </w:pPr>
      <w:r>
        <w:rPr>
          <w:rFonts w:ascii="Calibri" w:hAnsi="Calibri"/>
          <w:color w:val="1F2937"/>
          <w:sz w:val="20"/>
        </w:rPr>
        <w:t>AFES decouples business logic from physical storage providers using an abstract `StorageProvider` interface. The implementation provides seamless support for two primary operational modes: (1) AWS S3 Mode: Communicates with Amazon Web Services via Boto3, utilizing private bucket policies, least-privilege IAM credentials, and server-side encryption headers; and (2) Local MinIO Mode: Connects to a local S3-compatible MinIO service over HTTP/S3 API, providing an authentic cloud object storage environment for offline academic testing without incurring public cloud billing.</w:t>
      </w:r>
    </w:p>
    <w:p>
      <w:pPr>
        <w:keepNext/>
        <w:spacing w:before="160" w:after="50"/>
      </w:pPr>
      <w:r>
        <w:rPr>
          <w:rFonts w:ascii="Calibri" w:hAnsi="Calibri"/>
          <w:b/>
          <w:color w:val="1E3A8A"/>
          <w:sz w:val="24"/>
        </w:rPr>
        <w:t>3.5 Encryption Key Management &amp; Envelope Hierarchy</w:t>
      </w:r>
    </w:p>
    <w:p>
      <w:pPr>
        <w:spacing w:before="0" w:after="70" w:line="269" w:lineRule="auto"/>
        <w:jc w:val="both"/>
      </w:pPr>
      <w:r>
        <w:rPr>
          <w:rFonts w:ascii="Calibri" w:hAnsi="Calibri"/>
          <w:color w:val="1F2937"/>
          <w:sz w:val="20"/>
        </w:rPr>
        <w:t>Key security is guaranteed through strict separation of duties. Ephemeral DEKs exist in volatile memory only during the active encryption/decryption cycle and are zeroed immediately post-execution. The Master Key Encryption Key (KEK) is a 256-bit secret loaded strictly from server environment variables. This design provides a direct integration path for production AWS KMS, where `kms:GenerateDataKey` and `kms:Decrypt` can replace local KEK operations without modifying application encryption logic.</w:t>
      </w:r>
    </w:p>
    <w:p>
      <w:pPr>
        <w:keepNext/>
        <w:spacing w:before="160" w:after="50"/>
      </w:pPr>
      <w:r>
        <w:rPr>
          <w:rFonts w:ascii="Calibri" w:hAnsi="Calibri"/>
          <w:b/>
          <w:color w:val="1E3A8A"/>
          <w:sz w:val="24"/>
        </w:rPr>
        <w:t>3.6 Database Schema &amp; Audit Logging</w:t>
      </w:r>
    </w:p>
    <w:p>
      <w:pPr>
        <w:spacing w:before="0" w:after="70" w:line="269" w:lineRule="auto"/>
        <w:jc w:val="both"/>
      </w:pPr>
      <w:r>
        <w:rPr>
          <w:rFonts w:ascii="Calibri" w:hAnsi="Calibri"/>
          <w:color w:val="1F2937"/>
          <w:sz w:val="20"/>
        </w:rPr>
        <w:t>The relational metadata schema comprises three core tables as specified in Table 3.1. Passwords are saved strictly as Argon2id hashes, and file contents are never stored in the database.</w:t>
      </w:r>
    </w:p>
    <w:p>
      <w:pPr>
        <w:spacing w:before="80" w:after="40"/>
      </w:pPr>
      <w:r>
        <w:rPr>
          <w:b/>
          <w:color w:val="1E3A8A"/>
          <w:sz w:val="17"/>
        </w:rPr>
        <w:t>Table 3.1: Relational Database Schema &amp; Metadata Attributes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Header/>
      </w:tblPr>
      <w:tblGrid>
        <w:gridCol w:w="2340"/>
        <w:gridCol w:w="2340"/>
        <w:gridCol w:w="2340"/>
        <w:gridCol w:w="2340"/>
      </w:tblGrid>
      <w:tr>
        <w:tc>
          <w:tcPr>
            <w:tcW w:type="dxa" w:w="2016"/>
            <w:tcMar>
              <w:top w:w="80" w:type="dxa"/>
              <w:bottom w:w="80" w:type="dxa"/>
              <w:left w:w="120" w:type="dxa"/>
              <w:right w:w="120" w:type="dxa"/>
            </w:tcMar>
            <w:shd w:fill="0F172A"/>
          </w:tcPr>
          <w:p>
            <w:pPr>
              <w:spacing w:before="0" w:after="0"/>
              <w:jc w:val="left"/>
            </w:pPr>
            <w:r>
              <w:rPr>
                <w:rFonts w:ascii="Calibri" w:hAnsi="Calibri"/>
                <w:b/>
                <w:color w:val="FFFFFF"/>
                <w:sz w:val="17"/>
              </w:rPr>
              <w:t>Entity / Table</w:t>
            </w:r>
          </w:p>
        </w:tc>
        <w:tc>
          <w:tcPr>
            <w:tcW w:type="dxa" w:w="1728"/>
            <w:tcMar>
              <w:top w:w="80" w:type="dxa"/>
              <w:bottom w:w="80" w:type="dxa"/>
              <w:left w:w="120" w:type="dxa"/>
              <w:right w:w="120" w:type="dxa"/>
            </w:tcMar>
            <w:shd w:fill="0F172A"/>
          </w:tcPr>
          <w:p>
            <w:pPr>
              <w:spacing w:before="0" w:after="0"/>
              <w:jc w:val="left"/>
            </w:pPr>
            <w:r>
              <w:rPr>
                <w:rFonts w:ascii="Calibri" w:hAnsi="Calibri"/>
                <w:b/>
                <w:color w:val="FFFFFF"/>
                <w:sz w:val="17"/>
              </w:rPr>
              <w:t>Primary Key</w:t>
            </w:r>
          </w:p>
        </w:tc>
        <w:tc>
          <w:tcPr>
            <w:tcW w:type="dxa" w:w="2592"/>
            <w:tcMar>
              <w:top w:w="80" w:type="dxa"/>
              <w:bottom w:w="80" w:type="dxa"/>
              <w:left w:w="120" w:type="dxa"/>
              <w:right w:w="120" w:type="dxa"/>
            </w:tcMar>
            <w:shd w:fill="0F172A"/>
          </w:tcPr>
          <w:p>
            <w:pPr>
              <w:spacing w:before="0" w:after="0"/>
              <w:jc w:val="left"/>
            </w:pPr>
            <w:r>
              <w:rPr>
                <w:rFonts w:ascii="Calibri" w:hAnsi="Calibri"/>
                <w:b/>
                <w:color w:val="FFFFFF"/>
                <w:sz w:val="17"/>
              </w:rPr>
              <w:t>Foreign Keys &amp; Constraints</w:t>
            </w:r>
          </w:p>
        </w:tc>
        <w:tc>
          <w:tcPr>
            <w:tcW w:type="dxa" w:w="3024"/>
            <w:tcMar>
              <w:top w:w="80" w:type="dxa"/>
              <w:bottom w:w="80" w:type="dxa"/>
              <w:left w:w="120" w:type="dxa"/>
              <w:right w:w="120" w:type="dxa"/>
            </w:tcMar>
            <w:shd w:fill="0F172A"/>
          </w:tcPr>
          <w:p>
            <w:pPr>
              <w:spacing w:before="0" w:after="0"/>
              <w:jc w:val="left"/>
            </w:pPr>
            <w:r>
              <w:rPr>
                <w:rFonts w:ascii="Calibri" w:hAnsi="Calibri"/>
                <w:b/>
                <w:color w:val="FFFFFF"/>
                <w:sz w:val="17"/>
              </w:rPr>
              <w:t>Managed Attributes &amp; Data Types</w:t>
            </w:r>
          </w:p>
        </w:tc>
      </w:tr>
      <w:tr>
        <w:tc>
          <w:tcPr>
            <w:tcW w:type="dxa" w:w="2016"/>
            <w:tcMar>
              <w:top w:w="60" w:type="dxa"/>
              <w:bottom w:w="60" w:type="dxa"/>
              <w:left w:w="120" w:type="dxa"/>
              <w:right w:w="120" w:type="dxa"/>
            </w:tcMar>
            <w:shd w:fill="FFFFFF"/>
          </w:tcPr>
          <w:p>
            <w:pPr>
              <w:spacing w:before="0" w:after="0" w:line="245" w:lineRule="auto"/>
              <w:jc w:val="left"/>
            </w:pPr>
            <w:r>
              <w:rPr>
                <w:rFonts w:ascii="Calibri" w:hAnsi="Calibri"/>
                <w:color w:val="1F2937"/>
                <w:sz w:val="16"/>
              </w:rPr>
              <w:t>users</w:t>
            </w:r>
          </w:p>
        </w:tc>
        <w:tc>
          <w:tcPr>
            <w:tcW w:type="dxa" w:w="1728"/>
            <w:tcMar>
              <w:top w:w="60" w:type="dxa"/>
              <w:bottom w:w="60" w:type="dxa"/>
              <w:left w:w="120" w:type="dxa"/>
              <w:right w:w="120" w:type="dxa"/>
            </w:tcMar>
            <w:shd w:fill="FFFFFF"/>
          </w:tcPr>
          <w:p>
            <w:pPr>
              <w:spacing w:before="0" w:after="0" w:line="245" w:lineRule="auto"/>
              <w:jc w:val="left"/>
            </w:pPr>
            <w:r>
              <w:rPr>
                <w:rFonts w:ascii="Calibri" w:hAnsi="Calibri"/>
                <w:color w:val="1F2937"/>
                <w:sz w:val="16"/>
              </w:rPr>
              <w:t>id (Integer PK)</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email (Unique Index, Not Null)</w:t>
            </w:r>
          </w:p>
        </w:tc>
        <w:tc>
          <w:tcPr>
            <w:tcW w:type="dxa" w:w="3024"/>
            <w:tcMar>
              <w:top w:w="60" w:type="dxa"/>
              <w:bottom w:w="60" w:type="dxa"/>
              <w:left w:w="120" w:type="dxa"/>
              <w:right w:w="120" w:type="dxa"/>
            </w:tcMar>
            <w:shd w:fill="FFFFFF"/>
          </w:tcPr>
          <w:p>
            <w:pPr>
              <w:spacing w:before="0" w:after="0" w:line="245" w:lineRule="auto"/>
              <w:jc w:val="left"/>
            </w:pPr>
            <w:r>
              <w:rPr>
                <w:rFonts w:ascii="Calibri" w:hAnsi="Calibri"/>
                <w:color w:val="1F2937"/>
                <w:sz w:val="16"/>
              </w:rPr>
              <w:t>name, password_hash (Argon2id), role, is_active, created_at, last_login</w:t>
            </w:r>
          </w:p>
        </w:tc>
      </w:tr>
      <w:tr>
        <w:tc>
          <w:tcPr>
            <w:tcW w:type="dxa" w:w="2016"/>
            <w:tcMar>
              <w:top w:w="60" w:type="dxa"/>
              <w:bottom w:w="60" w:type="dxa"/>
              <w:left w:w="120" w:type="dxa"/>
              <w:right w:w="120" w:type="dxa"/>
            </w:tcMar>
            <w:shd w:fill="F8FAFC"/>
          </w:tcPr>
          <w:p>
            <w:pPr>
              <w:spacing w:before="0" w:after="0" w:line="245" w:lineRule="auto"/>
              <w:jc w:val="left"/>
            </w:pPr>
            <w:r>
              <w:rPr>
                <w:rFonts w:ascii="Calibri" w:hAnsi="Calibri"/>
                <w:color w:val="1F2937"/>
                <w:sz w:val="16"/>
              </w:rPr>
              <w:t>file_records</w:t>
            </w:r>
          </w:p>
        </w:tc>
        <w:tc>
          <w:tcPr>
            <w:tcW w:type="dxa" w:w="1728"/>
            <w:tcMar>
              <w:top w:w="60" w:type="dxa"/>
              <w:bottom w:w="60" w:type="dxa"/>
              <w:left w:w="120" w:type="dxa"/>
              <w:right w:w="120" w:type="dxa"/>
            </w:tcMar>
            <w:shd w:fill="F8FAFC"/>
          </w:tcPr>
          <w:p>
            <w:pPr>
              <w:spacing w:before="0" w:after="0" w:line="245" w:lineRule="auto"/>
              <w:jc w:val="left"/>
            </w:pPr>
            <w:r>
              <w:rPr>
                <w:rFonts w:ascii="Calibri" w:hAnsi="Calibri"/>
                <w:color w:val="1F2937"/>
                <w:sz w:val="16"/>
              </w:rPr>
              <w:t>id (Integer PK)</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owner_id -&gt; users.id (CASCADE), encrypted_object_key (Unique)</w:t>
            </w:r>
          </w:p>
        </w:tc>
        <w:tc>
          <w:tcPr>
            <w:tcW w:type="dxa" w:w="3024"/>
            <w:tcMar>
              <w:top w:w="60" w:type="dxa"/>
              <w:bottom w:w="60" w:type="dxa"/>
              <w:left w:w="120" w:type="dxa"/>
              <w:right w:w="120" w:type="dxa"/>
            </w:tcMar>
            <w:shd w:fill="F8FAFC"/>
          </w:tcPr>
          <w:p>
            <w:pPr>
              <w:spacing w:before="0" w:after="0" w:line="245" w:lineRule="auto"/>
              <w:jc w:val="left"/>
            </w:pPr>
            <w:r>
              <w:rPr>
                <w:rFonts w:ascii="Calibri" w:hAnsi="Calibri"/>
                <w:color w:val="1F2937"/>
                <w:sz w:val="16"/>
              </w:rPr>
              <w:t>original_filename, original_size, content_type, encrypted_size, encryption_algorithm, format_version, nonce_hex, encrypted_dek_hex, storage_provider, upload_timestamp, status</w:t>
            </w:r>
          </w:p>
        </w:tc>
      </w:tr>
      <w:tr>
        <w:tc>
          <w:tcPr>
            <w:tcW w:type="dxa" w:w="2016"/>
            <w:tcMar>
              <w:top w:w="60" w:type="dxa"/>
              <w:bottom w:w="60" w:type="dxa"/>
              <w:left w:w="120" w:type="dxa"/>
              <w:right w:w="120" w:type="dxa"/>
            </w:tcMar>
            <w:shd w:fill="FFFFFF"/>
          </w:tcPr>
          <w:p>
            <w:pPr>
              <w:spacing w:before="0" w:after="0" w:line="245" w:lineRule="auto"/>
              <w:jc w:val="left"/>
            </w:pPr>
            <w:r>
              <w:rPr>
                <w:rFonts w:ascii="Calibri" w:hAnsi="Calibri"/>
                <w:color w:val="1F2937"/>
                <w:sz w:val="16"/>
              </w:rPr>
              <w:t>audit_events</w:t>
            </w:r>
          </w:p>
        </w:tc>
        <w:tc>
          <w:tcPr>
            <w:tcW w:type="dxa" w:w="1728"/>
            <w:tcMar>
              <w:top w:w="60" w:type="dxa"/>
              <w:bottom w:w="60" w:type="dxa"/>
              <w:left w:w="120" w:type="dxa"/>
              <w:right w:w="120" w:type="dxa"/>
            </w:tcMar>
            <w:shd w:fill="FFFFFF"/>
          </w:tcPr>
          <w:p>
            <w:pPr>
              <w:spacing w:before="0" w:after="0" w:line="245" w:lineRule="auto"/>
              <w:jc w:val="left"/>
            </w:pPr>
            <w:r>
              <w:rPr>
                <w:rFonts w:ascii="Calibri" w:hAnsi="Calibri"/>
                <w:color w:val="1F2937"/>
                <w:sz w:val="16"/>
              </w:rPr>
              <w:t>id (Integer PK)</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user_id -&gt; users.id (SET NULL)</w:t>
            </w:r>
          </w:p>
        </w:tc>
        <w:tc>
          <w:tcPr>
            <w:tcW w:type="dxa" w:w="3024"/>
            <w:tcMar>
              <w:top w:w="60" w:type="dxa"/>
              <w:bottom w:w="60" w:type="dxa"/>
              <w:left w:w="120" w:type="dxa"/>
              <w:right w:w="120" w:type="dxa"/>
            </w:tcMar>
            <w:shd w:fill="FFFFFF"/>
          </w:tcPr>
          <w:p>
            <w:pPr>
              <w:spacing w:before="0" w:after="0" w:line="245" w:lineRule="auto"/>
              <w:jc w:val="left"/>
            </w:pPr>
            <w:r>
              <w:rPr>
                <w:rFonts w:ascii="Calibri" w:hAnsi="Calibri"/>
                <w:color w:val="1F2937"/>
                <w:sz w:val="16"/>
              </w:rPr>
              <w:t>event_type, timestamp, success (Boolean), ip_address, correlation_id, details (JSON string, sanitized)</w:t>
            </w:r>
          </w:p>
        </w:tc>
      </w:tr>
    </w:tbl>
    <w:p>
      <w:pPr>
        <w:spacing w:before="0" w:after="60"/>
      </w:pPr>
    </w:p>
    <w:p>
      <w:pPr>
        <w:keepNext/>
        <w:spacing w:before="160" w:after="50"/>
      </w:pPr>
      <w:r>
        <w:rPr>
          <w:rFonts w:ascii="Calibri" w:hAnsi="Calibri"/>
          <w:b/>
          <w:color w:val="1E3A8A"/>
          <w:sz w:val="24"/>
        </w:rPr>
        <w:t>3.7 REST API Design &amp; Endpoint Specifications</w:t>
      </w:r>
    </w:p>
    <w:p>
      <w:pPr>
        <w:spacing w:before="0" w:after="70" w:line="269" w:lineRule="auto"/>
        <w:jc w:val="both"/>
      </w:pPr>
      <w:r>
        <w:rPr>
          <w:rFonts w:ascii="Calibri" w:hAnsi="Calibri"/>
          <w:color w:val="1F2937"/>
          <w:sz w:val="20"/>
        </w:rPr>
        <w:t>The backend exposes a comprehensive RESTful API adhering to standard HTTP status codes, as detailed in Table 3.2.</w:t>
      </w:r>
    </w:p>
    <w:p>
      <w:pPr>
        <w:spacing w:before="80" w:after="40"/>
      </w:pPr>
      <w:r>
        <w:rPr>
          <w:b/>
          <w:color w:val="1E3A8A"/>
          <w:sz w:val="17"/>
        </w:rPr>
        <w:t>Table 3.2: RESTful API Endpoints Specification &amp; Authorization Policy</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Header/>
      </w:tblPr>
      <w:tblGrid>
        <w:gridCol w:w="2340"/>
        <w:gridCol w:w="2340"/>
        <w:gridCol w:w="2340"/>
        <w:gridCol w:w="2340"/>
      </w:tblGrid>
      <w:tr>
        <w:tc>
          <w:tcPr>
            <w:tcW w:type="dxa" w:w="1584"/>
            <w:tcMar>
              <w:top w:w="80" w:type="dxa"/>
              <w:bottom w:w="80" w:type="dxa"/>
              <w:left w:w="120" w:type="dxa"/>
              <w:right w:w="120" w:type="dxa"/>
            </w:tcMar>
            <w:shd w:fill="0F172A"/>
          </w:tcPr>
          <w:p>
            <w:pPr>
              <w:spacing w:before="0" w:after="0"/>
              <w:jc w:val="left"/>
            </w:pPr>
            <w:r>
              <w:rPr>
                <w:rFonts w:ascii="Calibri" w:hAnsi="Calibri"/>
                <w:b/>
                <w:color w:val="FFFFFF"/>
                <w:sz w:val="17"/>
              </w:rPr>
              <w:t>HTTP Method</w:t>
            </w:r>
          </w:p>
        </w:tc>
        <w:tc>
          <w:tcPr>
            <w:tcW w:type="dxa" w:w="2592"/>
            <w:tcMar>
              <w:top w:w="80" w:type="dxa"/>
              <w:bottom w:w="80" w:type="dxa"/>
              <w:left w:w="120" w:type="dxa"/>
              <w:right w:w="120" w:type="dxa"/>
            </w:tcMar>
            <w:shd w:fill="0F172A"/>
          </w:tcPr>
          <w:p>
            <w:pPr>
              <w:spacing w:before="0" w:after="0"/>
              <w:jc w:val="left"/>
            </w:pPr>
            <w:r>
              <w:rPr>
                <w:rFonts w:ascii="Calibri" w:hAnsi="Calibri"/>
                <w:b/>
                <w:color w:val="FFFFFF"/>
                <w:sz w:val="17"/>
              </w:rPr>
              <w:t>Endpoint Route</w:t>
            </w:r>
          </w:p>
        </w:tc>
        <w:tc>
          <w:tcPr>
            <w:tcW w:type="dxa" w:w="2592"/>
            <w:tcMar>
              <w:top w:w="80" w:type="dxa"/>
              <w:bottom w:w="80" w:type="dxa"/>
              <w:left w:w="120" w:type="dxa"/>
              <w:right w:w="120" w:type="dxa"/>
            </w:tcMar>
            <w:shd w:fill="0F172A"/>
          </w:tcPr>
          <w:p>
            <w:pPr>
              <w:spacing w:before="0" w:after="0"/>
              <w:jc w:val="left"/>
            </w:pPr>
            <w:r>
              <w:rPr>
                <w:rFonts w:ascii="Calibri" w:hAnsi="Calibri"/>
                <w:b/>
                <w:color w:val="FFFFFF"/>
                <w:sz w:val="17"/>
              </w:rPr>
              <w:t>Payload / Parameters</w:t>
            </w:r>
          </w:p>
        </w:tc>
        <w:tc>
          <w:tcPr>
            <w:tcW w:type="dxa" w:w="2592"/>
            <w:tcMar>
              <w:top w:w="80" w:type="dxa"/>
              <w:bottom w:w="80" w:type="dxa"/>
              <w:left w:w="120" w:type="dxa"/>
              <w:right w:w="120" w:type="dxa"/>
            </w:tcMar>
            <w:shd w:fill="0F172A"/>
          </w:tcPr>
          <w:p>
            <w:pPr>
              <w:spacing w:before="0" w:after="0"/>
              <w:jc w:val="left"/>
            </w:pPr>
            <w:r>
              <w:rPr>
                <w:rFonts w:ascii="Calibri" w:hAnsi="Calibri"/>
                <w:b/>
                <w:color w:val="FFFFFF"/>
                <w:sz w:val="17"/>
              </w:rPr>
              <w:t>Security Policy &amp; Functionality</w:t>
            </w:r>
          </w:p>
        </w:tc>
      </w:tr>
      <w:tr>
        <w:tc>
          <w:tcPr>
            <w:tcW w:type="dxa" w:w="1584"/>
            <w:tcMar>
              <w:top w:w="60" w:type="dxa"/>
              <w:bottom w:w="60" w:type="dxa"/>
              <w:left w:w="120" w:type="dxa"/>
              <w:right w:w="120" w:type="dxa"/>
            </w:tcMar>
            <w:shd w:fill="FFFFFF"/>
          </w:tcPr>
          <w:p>
            <w:pPr>
              <w:spacing w:before="0" w:after="0" w:line="245" w:lineRule="auto"/>
              <w:jc w:val="left"/>
            </w:pPr>
            <w:r>
              <w:rPr>
                <w:rFonts w:ascii="Calibri" w:hAnsi="Calibri"/>
                <w:color w:val="1F2937"/>
                <w:sz w:val="16"/>
              </w:rPr>
              <w:t>POST</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/api/auth/register</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name, email, password, confirm</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Public; Argon2id hash &amp; account creation</w:t>
            </w:r>
          </w:p>
        </w:tc>
      </w:tr>
      <w:tr>
        <w:tc>
          <w:tcPr>
            <w:tcW w:type="dxa" w:w="1584"/>
            <w:tcMar>
              <w:top w:w="60" w:type="dxa"/>
              <w:bottom w:w="60" w:type="dxa"/>
              <w:left w:w="120" w:type="dxa"/>
              <w:right w:w="120" w:type="dxa"/>
            </w:tcMar>
            <w:shd w:fill="F8FAFC"/>
          </w:tcPr>
          <w:p>
            <w:pPr>
              <w:spacing w:before="0" w:after="0" w:line="245" w:lineRule="auto"/>
              <w:jc w:val="left"/>
            </w:pPr>
            <w:r>
              <w:rPr>
                <w:rFonts w:ascii="Calibri" w:hAnsi="Calibri"/>
                <w:color w:val="1F2937"/>
                <w:sz w:val="16"/>
              </w:rPr>
              <w:t>POST</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/api/auth/login</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email, password</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Public; Credential check &amp; JWT token issuance</w:t>
            </w:r>
          </w:p>
        </w:tc>
      </w:tr>
      <w:tr>
        <w:tc>
          <w:tcPr>
            <w:tcW w:type="dxa" w:w="1584"/>
            <w:tcMar>
              <w:top w:w="60" w:type="dxa"/>
              <w:bottom w:w="60" w:type="dxa"/>
              <w:left w:w="120" w:type="dxa"/>
              <w:right w:w="120" w:type="dxa"/>
            </w:tcMar>
            <w:shd w:fill="FFFFFF"/>
          </w:tcPr>
          <w:p>
            <w:pPr>
              <w:spacing w:before="0" w:after="0" w:line="245" w:lineRule="auto"/>
              <w:jc w:val="left"/>
            </w:pPr>
            <w:r>
              <w:rPr>
                <w:rFonts w:ascii="Calibri" w:hAnsi="Calibri"/>
                <w:color w:val="1F2937"/>
                <w:sz w:val="16"/>
              </w:rPr>
              <w:t>GET</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/api/auth/me</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None (Bearer Header)</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JWT Auth; Retrieves current user profile</w:t>
            </w:r>
          </w:p>
        </w:tc>
      </w:tr>
      <w:tr>
        <w:tc>
          <w:tcPr>
            <w:tcW w:type="dxa" w:w="1584"/>
            <w:tcMar>
              <w:top w:w="60" w:type="dxa"/>
              <w:bottom w:w="60" w:type="dxa"/>
              <w:left w:w="120" w:type="dxa"/>
              <w:right w:w="120" w:type="dxa"/>
            </w:tcMar>
            <w:shd w:fill="F8FAFC"/>
          </w:tcPr>
          <w:p>
            <w:pPr>
              <w:spacing w:before="0" w:after="0" w:line="245" w:lineRule="auto"/>
              <w:jc w:val="left"/>
            </w:pPr>
            <w:r>
              <w:rPr>
                <w:rFonts w:ascii="Calibri" w:hAnsi="Calibri"/>
                <w:color w:val="1F2937"/>
                <w:sz w:val="16"/>
              </w:rPr>
              <w:t>POST</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/api/files/encrypt</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Multipart form: file</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JWT Auth; AES-GCM encrypt, S3 upload, SQL record</w:t>
            </w:r>
          </w:p>
        </w:tc>
      </w:tr>
      <w:tr>
        <w:tc>
          <w:tcPr>
            <w:tcW w:type="dxa" w:w="1584"/>
            <w:tcMar>
              <w:top w:w="60" w:type="dxa"/>
              <w:bottom w:w="60" w:type="dxa"/>
              <w:left w:w="120" w:type="dxa"/>
              <w:right w:w="120" w:type="dxa"/>
            </w:tcMar>
            <w:shd w:fill="FFFFFF"/>
          </w:tcPr>
          <w:p>
            <w:pPr>
              <w:spacing w:before="0" w:after="0" w:line="245" w:lineRule="auto"/>
              <w:jc w:val="left"/>
            </w:pPr>
            <w:r>
              <w:rPr>
                <w:rFonts w:ascii="Calibri" w:hAnsi="Calibri"/>
                <w:color w:val="1F2937"/>
                <w:sz w:val="16"/>
              </w:rPr>
              <w:t>GET</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/api/files</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None (Bearer Header)</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JWT Auth; Lists files owned by authenticated user</w:t>
            </w:r>
          </w:p>
        </w:tc>
      </w:tr>
      <w:tr>
        <w:tc>
          <w:tcPr>
            <w:tcW w:type="dxa" w:w="1584"/>
            <w:tcMar>
              <w:top w:w="60" w:type="dxa"/>
              <w:bottom w:w="60" w:type="dxa"/>
              <w:left w:w="120" w:type="dxa"/>
              <w:right w:w="120" w:type="dxa"/>
            </w:tcMar>
            <w:shd w:fill="F8FAFC"/>
          </w:tcPr>
          <w:p>
            <w:pPr>
              <w:spacing w:before="0" w:after="0" w:line="245" w:lineRule="auto"/>
              <w:jc w:val="left"/>
            </w:pPr>
            <w:r>
              <w:rPr>
                <w:rFonts w:ascii="Calibri" w:hAnsi="Calibri"/>
                <w:color w:val="1F2937"/>
                <w:sz w:val="16"/>
              </w:rPr>
              <w:t>POST</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/api/files/{id}/decrypt</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id (Path parameter)</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JWT Auth + Owner check; S3 download &amp; decrypt</w:t>
            </w:r>
          </w:p>
        </w:tc>
      </w:tr>
      <w:tr>
        <w:tc>
          <w:tcPr>
            <w:tcW w:type="dxa" w:w="1584"/>
            <w:tcMar>
              <w:top w:w="60" w:type="dxa"/>
              <w:bottom w:w="60" w:type="dxa"/>
              <w:left w:w="120" w:type="dxa"/>
              <w:right w:w="120" w:type="dxa"/>
            </w:tcMar>
            <w:shd w:fill="FFFFFF"/>
          </w:tcPr>
          <w:p>
            <w:pPr>
              <w:spacing w:before="0" w:after="0" w:line="245" w:lineRule="auto"/>
              <w:jc w:val="left"/>
            </w:pPr>
            <w:r>
              <w:rPr>
                <w:rFonts w:ascii="Calibri" w:hAnsi="Calibri"/>
                <w:color w:val="1F2937"/>
                <w:sz w:val="16"/>
              </w:rPr>
              <w:t>POST</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/api/files/{id}/tamper-test</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id (Path parameter)</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JWT Auth + Owner check; Flips bit, verifies tag failure</w:t>
            </w:r>
          </w:p>
        </w:tc>
      </w:tr>
    </w:tbl>
    <w:p>
      <w:pPr>
        <w:spacing w:before="0" w:after="60"/>
      </w:pPr>
    </w:p>
    <w:p>
      <w:pPr>
        <w:keepNext/>
        <w:spacing w:before="160" w:after="50"/>
      </w:pPr>
      <w:r>
        <w:rPr>
          <w:rFonts w:ascii="Calibri" w:hAnsi="Calibri"/>
          <w:b/>
          <w:color w:val="1E3A8A"/>
          <w:sz w:val="24"/>
        </w:rPr>
        <w:t>3.8 Security Controls &amp; Error Handling</w:t>
      </w:r>
    </w:p>
    <w:p>
      <w:pPr>
        <w:spacing w:before="0" w:after="70" w:line="269" w:lineRule="auto"/>
        <w:jc w:val="both"/>
      </w:pPr>
      <w:r>
        <w:rPr>
          <w:rFonts w:ascii="Calibri" w:hAnsi="Calibri"/>
          <w:color w:val="1F2937"/>
          <w:sz w:val="20"/>
        </w:rPr>
        <w:t>AFES enforces strict defense-in-depth controls across every layer: (1) Path Traversal Prevention: Uploaded filenames are stripped of directory markers using `os.path.basename` and regex sanitization; (2) Upload Size Boundaries: File payloads are bounded to 100 MB via memory-checked streaming, rejecting oversized requests with HTTP 413; (3) Credential Sanitization: Telemetry routines systematically strip passwords, tokens, and encryption keys prior to audit persistence; (4) Cryptographic Exception Trapping: Cryptographic authentication failures return semantic HTTP 422 errors, preventing raw stack traces or internal server disclosures.</w:t>
      </w:r>
    </w:p>
    <w:p>
      <w:r>
        <w:br w:type="page"/>
      </w:r>
    </w:p>
    <w:p>
      <w:pPr>
        <w:keepNext/>
        <w:spacing w:before="200" w:after="100"/>
      </w:pPr>
      <w:r>
        <w:rPr>
          <w:rFonts w:ascii="Calibri" w:hAnsi="Calibri"/>
          <w:b/>
          <w:color w:val="0F172A"/>
          <w:sz w:val="30"/>
        </w:rPr>
        <w:t>CHAPTER 4: IMPLEMENTATION DETAILS &amp; CODE HIGHLIGHTS</w:t>
      </w:r>
    </w:p>
    <w:p>
      <w:pPr>
        <w:keepNext/>
        <w:spacing w:before="160" w:after="50"/>
      </w:pPr>
      <w:r>
        <w:rPr>
          <w:rFonts w:ascii="Calibri" w:hAnsi="Calibri"/>
          <w:b/>
          <w:color w:val="1E3A8A"/>
          <w:sz w:val="24"/>
        </w:rPr>
        <w:t>4.1 Backend Architecture (FastAPI, Python 3.12+, Pydantic v2)</w:t>
      </w:r>
    </w:p>
    <w:p>
      <w:pPr>
        <w:spacing w:before="0" w:after="70" w:line="269" w:lineRule="auto"/>
        <w:jc w:val="both"/>
      </w:pPr>
      <w:r>
        <w:rPr>
          <w:rFonts w:ascii="Calibri" w:hAnsi="Calibri"/>
          <w:color w:val="1F2937"/>
          <w:sz w:val="20"/>
        </w:rPr>
        <w:t>The backend of AFES is implemented in Python 3.12+ utilizing the asynchronous FastAPI web framework. FastAPI provides rapid request dispatching, native asynchronous coroutines, and automated OpenAPI documentation generation. Data schemas and request validation are strictly enforced via Pydantic v2 models, which intercept malformed inputs prior to invoking business logic. The architecture strictly isolates operational domains into specialized service modules located under `backend/app/services/`: `crypto_service.py` (AES-256-GCM encryption and DEK wrapping), `auth_service.py` (Argon2id hashing and JWT token management), `audit_service.py` (sanitized event logging), and `storage/` (pluggable cloud storage providers).</w:t>
      </w:r>
    </w:p>
    <w:p>
      <w:pPr>
        <w:keepNext/>
        <w:spacing w:before="160" w:after="50"/>
      </w:pPr>
      <w:r>
        <w:rPr>
          <w:rFonts w:ascii="Calibri" w:hAnsi="Calibri"/>
          <w:b/>
          <w:color w:val="1E3A8A"/>
          <w:sz w:val="24"/>
        </w:rPr>
        <w:t>4.2 Authentication &amp; Access-Control Implementation</w:t>
      </w:r>
    </w:p>
    <w:p>
      <w:pPr>
        <w:spacing w:before="0" w:after="70" w:line="269" w:lineRule="auto"/>
        <w:jc w:val="both"/>
      </w:pPr>
      <w:r>
        <w:rPr>
          <w:rFonts w:ascii="Calibri" w:hAnsi="Calibri"/>
          <w:color w:val="1F2937"/>
          <w:sz w:val="20"/>
        </w:rPr>
        <w:t>User authentication utilizes the `argon2-cffi` library configured with OWASP-recommended parameters: `time_cost=3`, `memory_cost=65536` (64 MiB), and `parallelism=1`. Upon verification, the `python-jose` library encodes a signed JWT carrying the user's primary key as subject (`sub`). Server-side authorization is implemented using FastAPI's dependency injection system (`get_current_user` in `app/utils/security.py`). The dependency extracts the HTTP Authorization Bearer token, validates the HMAC-SHA256 signature against `SECRET_KEY`, and queries the database for an active user record. Protected file endpoints execute an explicit authorization assertion, rejecting any cross-user resource request with HTTP 403 Forbidden.</w:t>
      </w:r>
    </w:p>
    <w:p>
      <w:pPr>
        <w:keepNext/>
        <w:spacing w:before="160" w:after="50"/>
      </w:pPr>
      <w:r>
        <w:rPr>
          <w:rFonts w:ascii="Calibri" w:hAnsi="Calibri"/>
          <w:b/>
          <w:color w:val="1E3A8A"/>
          <w:sz w:val="24"/>
        </w:rPr>
        <w:t>4.3 AES-256-GCM Encryption &amp; Decryption Engine</w:t>
      </w:r>
    </w:p>
    <w:p>
      <w:pPr>
        <w:spacing w:before="0" w:after="70" w:line="269" w:lineRule="auto"/>
        <w:jc w:val="both"/>
      </w:pPr>
      <w:r>
        <w:rPr>
          <w:rFonts w:ascii="Calibri" w:hAnsi="Calibri"/>
          <w:color w:val="1F2937"/>
          <w:sz w:val="20"/>
        </w:rPr>
        <w:t>Cryptographic file operations are handled by the `cryptography.hazmat.primitives.ciphers.aead.AESGCM` implementation. Listing 4.1 highlights the core authenticated encryption and decryption routines, demonstrating fresh nonce generation, AAD binding, and tag verification.</w:t>
      </w:r>
    </w:p>
    <w:p>
      <w:pPr>
        <w:spacing w:before="120" w:after="40"/>
      </w:pPr>
      <w:r>
        <w:rPr>
          <w:rFonts w:ascii="Calibri" w:hAnsi="Calibri"/>
          <w:b/>
          <w:color w:val="1E3A8A"/>
          <w:sz w:val="19"/>
        </w:rPr>
        <w:t>Listing 4.1: AES-256-GCM Authenticated Encryption &amp; Decryption (crypto_service.py)</w:t>
      </w:r>
    </w:p>
    <w:tbl>
      <w:tblPr>
        <w:tblW w:type="auto" w:w="0"/>
        <w:jc w:val="center"/>
        <w:tblLook w:firstColumn="1" w:firstRow="1" w:lastColumn="0" w:lastRow="0" w:noHBand="0" w:noVBand="1" w:val="04A0"/>
      </w:tblPr>
      <w:tblGrid>
        <w:gridCol w:w="9360"/>
      </w:tblGrid>
      <w:tr>
        <w:tc>
          <w:tcPr>
            <w:tcW w:type="dxa" w:w="9360"/>
            <w:tcMar>
              <w:top w:w="100" w:type="dxa"/>
              <w:bottom w:w="100" w:type="dxa"/>
              <w:left w:w="180" w:type="dxa"/>
              <w:right w:w="180" w:type="dxa"/>
            </w:tcMar>
            <w:shd w:fill="F8FAFC"/>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0F172A"/>
                <w:sz w:val="17"/>
              </w:rPr>
              <w:t>def encrypt_file(plaintext: bytes, original_filename: str, owner_id: int):</w:t>
            </w:r>
          </w:p>
          <w:p>
            <w:pPr>
              <w:spacing w:before="0" w:after="0" w:line="252" w:lineRule="auto"/>
            </w:pPr>
            <w:r>
              <w:rPr>
                <w:rFonts w:ascii="Consolas" w:hAnsi="Consolas"/>
                <w:color w:val="0F172A"/>
                <w:sz w:val="17"/>
              </w:rPr>
              <w:t xml:space="preserve">    dek = secrets.token_bytes(32)   # 256-bit random Data Encryption Key</w:t>
            </w:r>
          </w:p>
          <w:p>
            <w:pPr>
              <w:spacing w:before="0" w:after="0" w:line="252" w:lineRule="auto"/>
            </w:pPr>
            <w:r>
              <w:rPr>
                <w:rFonts w:ascii="Consolas" w:hAnsi="Consolas"/>
                <w:color w:val="0F172A"/>
                <w:sz w:val="17"/>
              </w:rPr>
              <w:t xml:space="preserve">    nonce = secrets.token_bytes(12) # 96-bit fresh random Nonce</w:t>
            </w:r>
          </w:p>
          <w:p>
            <w:pPr>
              <w:spacing w:before="0" w:after="0" w:line="252" w:lineRule="auto"/>
            </w:pPr>
            <w:r>
              <w:rPr>
                <w:rFonts w:ascii="Consolas" w:hAnsi="Consolas"/>
                <w:color w:val="0F172A"/>
                <w:sz w:val="17"/>
              </w:rPr>
              <w:t xml:space="preserve">    aesgcm = AESGCM(dek)</w:t>
            </w:r>
          </w:p>
          <w:p>
            <w:pPr>
              <w:spacing w:before="0" w:after="0" w:line="252" w:lineRule="auto"/>
            </w:pPr>
            <w:r>
              <w:rPr>
                <w:rFonts w:ascii="Consolas" w:hAnsi="Consolas"/>
                <w:color w:val="0F172A"/>
                <w:sz w:val="17"/>
              </w:rPr>
              <w:t xml:space="preserve">    safe_fn = ''.join(c if c.isascii() and c.isprintable() else '_' for c in original_filename)</w:t>
            </w:r>
          </w:p>
          <w:p>
            <w:pPr>
              <w:spacing w:before="0" w:after="0" w:line="252" w:lineRule="auto"/>
            </w:pPr>
            <w:r>
              <w:rPr>
                <w:rFonts w:ascii="Consolas" w:hAnsi="Consolas"/>
                <w:color w:val="0F172A"/>
                <w:sz w:val="17"/>
              </w:rPr>
              <w:t xml:space="preserve">    aad = f'AFES:v1:{owner_id}:{safe_fn}'.encode() # Cryptographic ownership binding</w:t>
            </w:r>
          </w:p>
          <w:p>
            <w:pPr>
              <w:spacing w:before="0" w:after="0" w:line="252" w:lineRule="auto"/>
            </w:pPr>
            <w:r>
              <w:rPr>
                <w:rFonts w:ascii="Consolas" w:hAnsi="Consolas"/>
                <w:color w:val="0F172A"/>
                <w:sz w:val="17"/>
              </w:rPr>
              <w:t xml:space="preserve">    ciphertext = aesgcm.encrypt(nonce, plaintext, aad)</w:t>
            </w:r>
          </w:p>
          <w:p>
            <w:pPr>
              <w:spacing w:before="0" w:after="0" w:line="252" w:lineRule="auto"/>
            </w:pPr>
            <w:r>
              <w:rPr>
                <w:rFonts w:ascii="Consolas" w:hAnsi="Consolas"/>
                <w:color w:val="0F172A"/>
                <w:sz w:val="17"/>
              </w:rPr>
              <w:t xml:space="preserve">    envelope = nonce + ciphertext</w:t>
            </w:r>
          </w:p>
          <w:p>
            <w:pPr>
              <w:spacing w:before="0" w:after="0" w:line="252" w:lineRule="auto"/>
            </w:pPr>
            <w:r>
              <w:rPr>
                <w:rFonts w:ascii="Consolas" w:hAnsi="Consolas"/>
                <w:color w:val="0F172A"/>
                <w:sz w:val="17"/>
              </w:rPr>
              <w:t xml:space="preserve">    wrapped_dek = _wrap_dek(dek)    # Wrap DEK under Master KEK</w:t>
            </w:r>
          </w:p>
          <w:p>
            <w:pPr>
              <w:spacing w:before="0" w:after="0" w:line="252" w:lineRule="auto"/>
            </w:pPr>
            <w:r>
              <w:rPr>
                <w:rFonts w:ascii="Consolas" w:hAnsi="Consolas"/>
                <w:color w:val="0F172A"/>
                <w:sz w:val="17"/>
              </w:rPr>
              <w:t xml:space="preserve">    return envelope, nonce.hex(), wrapped_dek.hex()</w:t>
            </w:r>
          </w:p>
          <w:p>
            <w:pPr>
              <w:spacing w:before="0" w:after="0" w:line="252" w:lineRule="auto"/>
            </w:pPr>
            <w:r>
              <w:rPr>
                <w:rFonts w:ascii="Consolas" w:hAnsi="Consolas"/>
                <w:color w:val="0F172A"/>
                <w:sz w:val="17"/>
              </w:rPr>
            </w:r>
          </w:p>
          <w:p>
            <w:pPr>
              <w:spacing w:before="0" w:after="0" w:line="252" w:lineRule="auto"/>
            </w:pPr>
            <w:r>
              <w:rPr>
                <w:rFonts w:ascii="Consolas" w:hAnsi="Consolas"/>
                <w:color w:val="0F172A"/>
                <w:sz w:val="17"/>
              </w:rPr>
              <w:t>def decrypt_file(envelope: bytes, nonce_hex: str, wrapped_dek_hex: str, filename: str, owner_id: int):</w:t>
            </w:r>
          </w:p>
          <w:p>
            <w:pPr>
              <w:spacing w:before="0" w:after="0" w:line="252" w:lineRule="auto"/>
            </w:pPr>
            <w:r>
              <w:rPr>
                <w:rFonts w:ascii="Consolas" w:hAnsi="Consolas"/>
                <w:color w:val="0F172A"/>
                <w:sz w:val="17"/>
              </w:rPr>
              <w:t xml:space="preserve">    dek = _unwrap_dek(wrapped_dek_hex)</w:t>
            </w:r>
          </w:p>
          <w:p>
            <w:pPr>
              <w:spacing w:before="0" w:after="0" w:line="252" w:lineRule="auto"/>
            </w:pPr>
            <w:r>
              <w:rPr>
                <w:rFonts w:ascii="Consolas" w:hAnsi="Consolas"/>
                <w:color w:val="0F172A"/>
                <w:sz w:val="17"/>
              </w:rPr>
              <w:t xml:space="preserve">    nonce = bytes.fromhex(nonce_hex)</w:t>
            </w:r>
          </w:p>
          <w:p>
            <w:pPr>
              <w:spacing w:before="0" w:after="0" w:line="252" w:lineRule="auto"/>
            </w:pPr>
            <w:r>
              <w:rPr>
                <w:rFonts w:ascii="Consolas" w:hAnsi="Consolas"/>
                <w:color w:val="0F172A"/>
                <w:sz w:val="17"/>
              </w:rPr>
              <w:t xml:space="preserve">    ciphertext = envelope[12:]      # Extract ciphertext payload</w:t>
            </w:r>
          </w:p>
          <w:p>
            <w:pPr>
              <w:spacing w:before="0" w:after="0" w:line="252" w:lineRule="auto"/>
            </w:pPr>
            <w:r>
              <w:rPr>
                <w:rFonts w:ascii="Consolas" w:hAnsi="Consolas"/>
                <w:color w:val="0F172A"/>
                <w:sz w:val="17"/>
              </w:rPr>
              <w:t xml:space="preserve">    aesgcm = AESGCM(dek)</w:t>
            </w:r>
          </w:p>
          <w:p>
            <w:pPr>
              <w:spacing w:before="0" w:after="0" w:line="252" w:lineRule="auto"/>
            </w:pPr>
            <w:r>
              <w:rPr>
                <w:rFonts w:ascii="Consolas" w:hAnsi="Consolas"/>
                <w:color w:val="0F172A"/>
                <w:sz w:val="17"/>
              </w:rPr>
              <w:t xml:space="preserve">    safe_fn = ''.join(c if c.isascii() and c.isprintable() else '_' for c in filename)</w:t>
            </w:r>
          </w:p>
          <w:p>
            <w:pPr>
              <w:spacing w:before="0" w:after="0" w:line="252" w:lineRule="auto"/>
            </w:pPr>
            <w:r>
              <w:rPr>
                <w:rFonts w:ascii="Consolas" w:hAnsi="Consolas"/>
                <w:color w:val="0F172A"/>
                <w:sz w:val="17"/>
              </w:rPr>
              <w:t xml:space="preserve">    aad = f'AFES:v1:{owner_id}:{safe_fn}'.encode()</w:t>
            </w:r>
          </w:p>
          <w:p>
            <w:pPr>
              <w:spacing w:before="0" w:after="0" w:line="252" w:lineRule="auto"/>
            </w:pPr>
            <w:r>
              <w:rPr>
                <w:rFonts w:ascii="Consolas" w:hAnsi="Consolas"/>
                <w:color w:val="0F172A"/>
                <w:sz w:val="17"/>
              </w:rPr>
              <w:t xml:space="preserve">    try:</w:t>
            </w:r>
          </w:p>
          <w:p>
            <w:pPr>
              <w:spacing w:before="0" w:after="0" w:line="252" w:lineRule="auto"/>
            </w:pPr>
            <w:r>
              <w:rPr>
                <w:rFonts w:ascii="Consolas" w:hAnsi="Consolas"/>
                <w:color w:val="0F172A"/>
                <w:sz w:val="17"/>
              </w:rPr>
              <w:t xml:space="preserve">        plaintext = aesgcm.decrypt(nonce, ciphertext, aad) # Verifies 128-bit tag</w:t>
            </w:r>
          </w:p>
          <w:p>
            <w:pPr>
              <w:spacing w:before="0" w:after="0" w:line="252" w:lineRule="auto"/>
            </w:pPr>
            <w:r>
              <w:rPr>
                <w:rFonts w:ascii="Consolas" w:hAnsi="Consolas"/>
                <w:color w:val="0F172A"/>
                <w:sz w:val="17"/>
              </w:rPr>
              <w:t xml:space="preserve">        return plaintext</w:t>
            </w:r>
          </w:p>
          <w:p>
            <w:pPr>
              <w:spacing w:before="0" w:after="0" w:line="252" w:lineRule="auto"/>
            </w:pPr>
            <w:r>
              <w:rPr>
                <w:rFonts w:ascii="Consolas" w:hAnsi="Consolas"/>
                <w:color w:val="0F172A"/>
                <w:sz w:val="17"/>
              </w:rPr>
              <w:t xml:space="preserve">    except Exception:</w:t>
            </w:r>
          </w:p>
          <w:p>
            <w:pPr>
              <w:spacing w:before="0" w:after="0" w:line="252" w:lineRule="auto"/>
            </w:pPr>
            <w:r>
              <w:rPr>
                <w:rFonts w:ascii="Consolas" w:hAnsi="Consolas"/>
                <w:color w:val="0F172A"/>
                <w:sz w:val="17"/>
              </w:rPr>
              <w:t xml:space="preserve">        raise ValueError('Decryption failed: Ciphertext tampered or invalid key')</w:t>
            </w:r>
          </w:p>
        </w:tc>
      </w:tr>
    </w:tbl>
    <w:p>
      <w:pPr>
        <w:spacing w:before="0" w:after="80"/>
      </w:pPr>
    </w:p>
    <w:p>
      <w:pPr>
        <w:keepNext/>
        <w:spacing w:before="160" w:after="50"/>
      </w:pPr>
      <w:r>
        <w:rPr>
          <w:rFonts w:ascii="Calibri" w:hAnsi="Calibri"/>
          <w:b/>
          <w:color w:val="1E3A8A"/>
          <w:sz w:val="24"/>
        </w:rPr>
        <w:t>4.4 Pluggable Storage Factory &amp; S3 Provider Implementation</w:t>
      </w:r>
    </w:p>
    <w:p>
      <w:pPr>
        <w:spacing w:before="0" w:after="70" w:line="269" w:lineRule="auto"/>
        <w:jc w:val="both"/>
      </w:pPr>
      <w:r>
        <w:rPr>
          <w:rFonts w:ascii="Calibri" w:hAnsi="Calibri"/>
          <w:color w:val="1F2937"/>
          <w:sz w:val="20"/>
        </w:rPr>
        <w:t>Cloud storage operations are mediated through a singleton factory (`get_storage_provider()`) that reads the `STORAGE_PROVIDER` configuration setting. Listing 4.2 presents the S3-compatible provider implementation utilizing Boto3 to interact with AWS S3 and MinIO.</w:t>
      </w:r>
    </w:p>
    <w:p>
      <w:pPr>
        <w:spacing w:before="120" w:after="40"/>
      </w:pPr>
      <w:r>
        <w:rPr>
          <w:rFonts w:ascii="Calibri" w:hAnsi="Calibri"/>
          <w:b/>
          <w:color w:val="1E3A8A"/>
          <w:sz w:val="19"/>
        </w:rPr>
        <w:t>Listing 4.2: S3-Compatible Storage Provider Implementation (s3_provider.py)</w:t>
      </w:r>
    </w:p>
    <w:tbl>
      <w:tblPr>
        <w:tblW w:type="auto" w:w="0"/>
        <w:jc w:val="center"/>
        <w:tblLook w:firstColumn="1" w:firstRow="1" w:lastColumn="0" w:lastRow="0" w:noHBand="0" w:noVBand="1" w:val="04A0"/>
      </w:tblPr>
      <w:tblGrid>
        <w:gridCol w:w="9360"/>
      </w:tblGrid>
      <w:tr>
        <w:tc>
          <w:tcPr>
            <w:tcW w:type="dxa" w:w="9360"/>
            <w:tcMar>
              <w:top w:w="100" w:type="dxa"/>
              <w:bottom w:w="100" w:type="dxa"/>
              <w:left w:w="180" w:type="dxa"/>
              <w:right w:w="180" w:type="dxa"/>
            </w:tcMar>
            <w:shd w:fill="F8FAFC"/>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0F172A"/>
                <w:sz w:val="17"/>
              </w:rPr>
              <w:t>class S3CompatibleProvider(StorageProvider):</w:t>
            </w:r>
          </w:p>
          <w:p>
            <w:pPr>
              <w:spacing w:before="0" w:after="0" w:line="252" w:lineRule="auto"/>
            </w:pPr>
            <w:r>
              <w:rPr>
                <w:rFonts w:ascii="Consolas" w:hAnsi="Consolas"/>
                <w:color w:val="0F172A"/>
                <w:sz w:val="17"/>
              </w:rPr>
              <w:t xml:space="preserve">    def __init__(self):</w:t>
            </w:r>
          </w:p>
          <w:p>
            <w:pPr>
              <w:spacing w:before="0" w:after="0" w:line="252" w:lineRule="auto"/>
            </w:pPr>
            <w:r>
              <w:rPr>
                <w:rFonts w:ascii="Consolas" w:hAnsi="Consolas"/>
                <w:color w:val="0F172A"/>
                <w:sz w:val="17"/>
              </w:rPr>
              <w:t xml:space="preserve">        self._is_minio = settings.STORAGE_PROVIDER.lower() == 'minio'</w:t>
            </w:r>
          </w:p>
          <w:p>
            <w:pPr>
              <w:spacing w:before="0" w:after="0" w:line="252" w:lineRule="auto"/>
            </w:pPr>
            <w:r>
              <w:rPr>
                <w:rFonts w:ascii="Consolas" w:hAnsi="Consolas"/>
                <w:color w:val="0F172A"/>
                <w:sz w:val="17"/>
              </w:rPr>
              <w:t xml:space="preserve">        if self._is_minio:</w:t>
            </w:r>
          </w:p>
          <w:p>
            <w:pPr>
              <w:spacing w:before="0" w:after="0" w:line="252" w:lineRule="auto"/>
            </w:pPr>
            <w:r>
              <w:rPr>
                <w:rFonts w:ascii="Consolas" w:hAnsi="Consolas"/>
                <w:color w:val="0F172A"/>
                <w:sz w:val="17"/>
              </w:rPr>
              <w:t xml:space="preserve">            self._client = boto3.client('s3', endpoint_url=f'http://{settings.MINIO_ENDPOINT}',</w:t>
            </w:r>
          </w:p>
          <w:p>
            <w:pPr>
              <w:spacing w:before="0" w:after="0" w:line="252" w:lineRule="auto"/>
            </w:pPr>
            <w:r>
              <w:rPr>
                <w:rFonts w:ascii="Consolas" w:hAnsi="Consolas"/>
                <w:color w:val="0F172A"/>
                <w:sz w:val="17"/>
              </w:rPr>
              <w:t xml:space="preserve">                                        aws_access_key_id=settings.MINIO_ACCESS_KEY,</w:t>
            </w:r>
          </w:p>
          <w:p>
            <w:pPr>
              <w:spacing w:before="0" w:after="0" w:line="252" w:lineRule="auto"/>
            </w:pPr>
            <w:r>
              <w:rPr>
                <w:rFonts w:ascii="Consolas" w:hAnsi="Consolas"/>
                <w:color w:val="0F172A"/>
                <w:sz w:val="17"/>
              </w:rPr>
              <w:t xml:space="preserve">                                        aws_secret_access_key=settings.MINIO_SECRET_KEY)</w:t>
            </w:r>
          </w:p>
          <w:p>
            <w:pPr>
              <w:spacing w:before="0" w:after="0" w:line="252" w:lineRule="auto"/>
            </w:pPr>
            <w:r>
              <w:rPr>
                <w:rFonts w:ascii="Consolas" w:hAnsi="Consolas"/>
                <w:color w:val="0F172A"/>
                <w:sz w:val="17"/>
              </w:rPr>
              <w:t xml:space="preserve">            self._bucket = settings.MINIO_BUCKET</w:t>
            </w:r>
          </w:p>
          <w:p>
            <w:pPr>
              <w:spacing w:before="0" w:after="0" w:line="252" w:lineRule="auto"/>
            </w:pPr>
            <w:r>
              <w:rPr>
                <w:rFonts w:ascii="Consolas" w:hAnsi="Consolas"/>
                <w:color w:val="0F172A"/>
                <w:sz w:val="17"/>
              </w:rPr>
              <w:t xml:space="preserve">        else: # AWS S3 Production</w:t>
            </w:r>
          </w:p>
          <w:p>
            <w:pPr>
              <w:spacing w:before="0" w:after="0" w:line="252" w:lineRule="auto"/>
            </w:pPr>
            <w:r>
              <w:rPr>
                <w:rFonts w:ascii="Consolas" w:hAnsi="Consolas"/>
                <w:color w:val="0F172A"/>
                <w:sz w:val="17"/>
              </w:rPr>
              <w:t xml:space="preserve">            self._client = boto3.client('s3', region_name=settings.AWS_REGION,</w:t>
            </w:r>
          </w:p>
          <w:p>
            <w:pPr>
              <w:spacing w:before="0" w:after="0" w:line="252" w:lineRule="auto"/>
            </w:pPr>
            <w:r>
              <w:rPr>
                <w:rFonts w:ascii="Consolas" w:hAnsi="Consolas"/>
                <w:color w:val="0F172A"/>
                <w:sz w:val="17"/>
              </w:rPr>
              <w:t xml:space="preserve">                                        aws_access_key_id=settings.AWS_ACCESS_KEY_ID,</w:t>
            </w:r>
          </w:p>
          <w:p>
            <w:pPr>
              <w:spacing w:before="0" w:after="0" w:line="252" w:lineRule="auto"/>
            </w:pPr>
            <w:r>
              <w:rPr>
                <w:rFonts w:ascii="Consolas" w:hAnsi="Consolas"/>
                <w:color w:val="0F172A"/>
                <w:sz w:val="17"/>
              </w:rPr>
              <w:t xml:space="preserve">                                        aws_secret_access_key=settings.AWS_SECRET_ACCESS_KEY)</w:t>
            </w:r>
          </w:p>
          <w:p>
            <w:pPr>
              <w:spacing w:before="0" w:after="0" w:line="252" w:lineRule="auto"/>
            </w:pPr>
            <w:r>
              <w:rPr>
                <w:rFonts w:ascii="Consolas" w:hAnsi="Consolas"/>
                <w:color w:val="0F172A"/>
                <w:sz w:val="17"/>
              </w:rPr>
              <w:t xml:space="preserve">            self._bucket = settings.S3_BUCKET</w:t>
            </w:r>
          </w:p>
          <w:p>
            <w:pPr>
              <w:spacing w:before="0" w:after="0" w:line="252" w:lineRule="auto"/>
            </w:pPr>
            <w:r>
              <w:rPr>
                <w:rFonts w:ascii="Consolas" w:hAnsi="Consolas"/>
                <w:color w:val="0F172A"/>
                <w:sz w:val="17"/>
              </w:rPr>
            </w:r>
          </w:p>
          <w:p>
            <w:pPr>
              <w:spacing w:before="0" w:after="0" w:line="252" w:lineRule="auto"/>
            </w:pPr>
            <w:r>
              <w:rPr>
                <w:rFonts w:ascii="Consolas" w:hAnsi="Consolas"/>
                <w:color w:val="0F172A"/>
                <w:sz w:val="17"/>
              </w:rPr>
              <w:t xml:space="preserve">    def upload_object(self, key: str, data: bytes, content_type: str):</w:t>
            </w:r>
          </w:p>
          <w:p>
            <w:pPr>
              <w:spacing w:before="0" w:after="0" w:line="252" w:lineRule="auto"/>
            </w:pPr>
            <w:r>
              <w:rPr>
                <w:rFonts w:ascii="Consolas" w:hAnsi="Consolas"/>
                <w:color w:val="0F172A"/>
                <w:sz w:val="17"/>
              </w:rPr>
              <w:t xml:space="preserve">        extra = {'ContentType': content_type}</w:t>
            </w:r>
          </w:p>
          <w:p>
            <w:pPr>
              <w:spacing w:before="0" w:after="0" w:line="252" w:lineRule="auto"/>
            </w:pPr>
            <w:r>
              <w:rPr>
                <w:rFonts w:ascii="Consolas" w:hAnsi="Consolas"/>
                <w:color w:val="0F172A"/>
                <w:sz w:val="17"/>
              </w:rPr>
              <w:t xml:space="preserve">        if not self._is_minio: extra['ServerSideEncryption'] = 'AES256'</w:t>
            </w:r>
          </w:p>
          <w:p>
            <w:pPr>
              <w:spacing w:before="0" w:after="0" w:line="252" w:lineRule="auto"/>
            </w:pPr>
            <w:r>
              <w:rPr>
                <w:rFonts w:ascii="Consolas" w:hAnsi="Consolas"/>
                <w:color w:val="0F172A"/>
                <w:sz w:val="17"/>
              </w:rPr>
              <w:t xml:space="preserve">        self._client.put_object(Bucket=self._bucket, Key=key, Body=data, **extra)</w:t>
            </w:r>
          </w:p>
          <w:p>
            <w:pPr>
              <w:spacing w:before="0" w:after="0" w:line="252" w:lineRule="auto"/>
            </w:pPr>
            <w:r>
              <w:rPr>
                <w:rFonts w:ascii="Consolas" w:hAnsi="Consolas"/>
                <w:color w:val="0F172A"/>
                <w:sz w:val="17"/>
              </w:rPr>
              <w:t xml:space="preserve">        return len(data)</w:t>
            </w:r>
          </w:p>
          <w:p>
            <w:pPr>
              <w:spacing w:before="0" w:after="0" w:line="252" w:lineRule="auto"/>
            </w:pPr>
            <w:r>
              <w:rPr>
                <w:rFonts w:ascii="Consolas" w:hAnsi="Consolas"/>
                <w:color w:val="0F172A"/>
                <w:sz w:val="17"/>
              </w:rPr>
            </w:r>
          </w:p>
          <w:p>
            <w:pPr>
              <w:spacing w:before="0" w:after="0" w:line="252" w:lineRule="auto"/>
            </w:pPr>
            <w:r>
              <w:rPr>
                <w:rFonts w:ascii="Consolas" w:hAnsi="Consolas"/>
                <w:color w:val="0F172A"/>
                <w:sz w:val="17"/>
              </w:rPr>
              <w:t xml:space="preserve">    def download_object(self, key: str) -&gt; bytes:</w:t>
            </w:r>
          </w:p>
          <w:p>
            <w:pPr>
              <w:spacing w:before="0" w:after="0" w:line="252" w:lineRule="auto"/>
            </w:pPr>
            <w:r>
              <w:rPr>
                <w:rFonts w:ascii="Consolas" w:hAnsi="Consolas"/>
                <w:color w:val="0F172A"/>
                <w:sz w:val="17"/>
              </w:rPr>
              <w:t xml:space="preserve">        response = self._client.get_object(Bucket=self._bucket, Key=key)</w:t>
            </w:r>
          </w:p>
          <w:p>
            <w:pPr>
              <w:spacing w:before="0" w:after="0" w:line="252" w:lineRule="auto"/>
            </w:pPr>
            <w:r>
              <w:rPr>
                <w:rFonts w:ascii="Consolas" w:hAnsi="Consolas"/>
                <w:color w:val="0F172A"/>
                <w:sz w:val="17"/>
              </w:rPr>
              <w:t xml:space="preserve">        return response['Body'].read()</w:t>
            </w:r>
          </w:p>
        </w:tc>
      </w:tr>
    </w:tbl>
    <w:p>
      <w:pPr>
        <w:spacing w:before="0" w:after="80"/>
      </w:pPr>
    </w:p>
    <w:p>
      <w:pPr>
        <w:keepNext/>
        <w:spacing w:before="160" w:after="50"/>
      </w:pPr>
      <w:r>
        <w:rPr>
          <w:rFonts w:ascii="Calibri" w:hAnsi="Calibri"/>
          <w:b/>
          <w:color w:val="1E3A8A"/>
          <w:sz w:val="24"/>
        </w:rPr>
        <w:t>4.5 Key Management, Database, and Audit Logging Implementation</w:t>
      </w:r>
    </w:p>
    <w:p>
      <w:pPr>
        <w:spacing w:before="0" w:after="70" w:line="269" w:lineRule="auto"/>
        <w:jc w:val="both"/>
      </w:pPr>
      <w:r>
        <w:rPr>
          <w:rFonts w:ascii="Calibri" w:hAnsi="Calibri"/>
          <w:color w:val="1F2937"/>
          <w:sz w:val="20"/>
        </w:rPr>
        <w:t>Envelope key wrapping encrypts the 32-byte DEK under the Master KEK using AES-256-GCM with a dedicated AAD context string (`b'AFES-DEK-WRAP-v1'`). The resulting 60-byte payload (12-byte nonce + 32-byte ciphertext + 16-byte tag) is hex-encoded and persisted to the `file_records` table. The audit service (`audit_service.py`) intercepts every significant operation, generating a cryptographically random correlation ID, logging client IP addresses, and recording non-sensitive operational metadata while systematically filtering out forbidden keys (`password`, `key`, `token`, `secret`, `plaintext`).</w:t>
      </w:r>
    </w:p>
    <w:p>
      <w:pPr>
        <w:keepNext/>
        <w:spacing w:before="160" w:after="50"/>
      </w:pPr>
      <w:r>
        <w:rPr>
          <w:rFonts w:ascii="Calibri" w:hAnsi="Calibri"/>
          <w:b/>
          <w:color w:val="1E3A8A"/>
          <w:sz w:val="24"/>
        </w:rPr>
        <w:t>4.6 Frontend Architecture &amp; User Workflow (React 18, TypeScript)</w:t>
      </w:r>
    </w:p>
    <w:p>
      <w:pPr>
        <w:spacing w:before="0" w:after="70" w:line="269" w:lineRule="auto"/>
        <w:jc w:val="both"/>
      </w:pPr>
      <w:r>
        <w:rPr>
          <w:rFonts w:ascii="Calibri" w:hAnsi="Calibri"/>
          <w:color w:val="1F2937"/>
          <w:sz w:val="20"/>
        </w:rPr>
        <w:t>The presentation tier is engineered as a responsive Single Page Application (SPA) utilizing React 18, Vite, and Tailwind CSS v4. Type definitions strictly mirror backend Pydantic schemas. Global authentication state is managed via `AuthContext`, which stores JWT bearer tokens in `localStorage` and configures Axios request interceptors to automatically inject authorization headers. The UI includes specialized pages: `EncryptFilePage` (featuring drag-and-drop file ingestion, upload progress indicators, and cryptographic receipts), `MyFilesPage` (providing search, download/decryption, deletion, and interactive tamper testing), `AuditPage` (displaying chronological security event logs with event-type filters), and `CloudInfraPage` (providing real-time storage health probes and connection test utilities).</w:t>
      </w:r>
    </w:p>
    <w:p>
      <w:r>
        <w:br w:type="page"/>
      </w:r>
    </w:p>
    <w:p>
      <w:pPr>
        <w:keepNext/>
        <w:spacing w:before="200" w:after="100"/>
      </w:pPr>
      <w:r>
        <w:rPr>
          <w:rFonts w:ascii="Calibri" w:hAnsi="Calibri"/>
          <w:b/>
          <w:color w:val="0F172A"/>
          <w:sz w:val="30"/>
        </w:rPr>
        <w:t>CHAPTER 5: RESULTS, VERIFICATION &amp; EXPERIMENTAL ANALYSIS</w:t>
      </w:r>
    </w:p>
    <w:p>
      <w:pPr>
        <w:keepNext/>
        <w:spacing w:before="160" w:after="50"/>
      </w:pPr>
      <w:r>
        <w:rPr>
          <w:rFonts w:ascii="Calibri" w:hAnsi="Calibri"/>
          <w:b/>
          <w:color w:val="1E3A8A"/>
          <w:sz w:val="24"/>
        </w:rPr>
        <w:t>5.1 Verification Test Suite Overview (33 Passed Tests)</w:t>
      </w:r>
    </w:p>
    <w:p>
      <w:pPr>
        <w:spacing w:before="0" w:after="70" w:line="269" w:lineRule="auto"/>
        <w:jc w:val="both"/>
      </w:pPr>
      <w:r>
        <w:rPr>
          <w:rFonts w:ascii="Calibri" w:hAnsi="Calibri"/>
          <w:color w:val="1F2937"/>
          <w:sz w:val="20"/>
        </w:rPr>
        <w:t>To validate system correctness, stability, and adherence to security specifications, a comprehensive automated test suite was developed and executed using `pytest`. The test harness utilizes an in-memory SQLite database configured with `StaticPool` to ensure clean connection isolation and a mock storage provider to simulate cloud object interactions. The test suite comprises 33 unit and integration tests distributed across 4 core modules, achieving a 100% pass rate as documented in Table 5.1 and Figure 5.1.</w:t>
      </w:r>
    </w:p>
    <w:p>
      <w:pPr>
        <w:spacing w:before="80" w:after="40"/>
      </w:pPr>
      <w:r>
        <w:rPr>
          <w:b/>
          <w:color w:val="1E3A8A"/>
          <w:sz w:val="17"/>
        </w:rPr>
        <w:t>Table 5.1: Backend Automated Test Suite Execution Results (33 Passed Tests)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Header/>
      </w:tblPr>
      <w:tblGrid>
        <w:gridCol w:w="1872"/>
        <w:gridCol w:w="1872"/>
        <w:gridCol w:w="1872"/>
        <w:gridCol w:w="1872"/>
        <w:gridCol w:w="1872"/>
      </w:tblGrid>
      <w:tr>
        <w:tc>
          <w:tcPr>
            <w:tcW w:type="dxa" w:w="2592"/>
            <w:tcMar>
              <w:top w:w="80" w:type="dxa"/>
              <w:bottom w:w="80" w:type="dxa"/>
              <w:left w:w="120" w:type="dxa"/>
              <w:right w:w="120" w:type="dxa"/>
            </w:tcMar>
            <w:shd w:fill="0F172A"/>
          </w:tcPr>
          <w:p>
            <w:pPr>
              <w:spacing w:before="0" w:after="0"/>
              <w:jc w:val="left"/>
            </w:pPr>
            <w:r>
              <w:rPr>
                <w:rFonts w:ascii="Calibri" w:hAnsi="Calibri"/>
                <w:b/>
                <w:color w:val="FFFFFF"/>
                <w:sz w:val="17"/>
              </w:rPr>
              <w:t>Test Module</w:t>
            </w:r>
          </w:p>
        </w:tc>
        <w:tc>
          <w:tcPr>
            <w:tcW w:type="dxa" w:w="2880"/>
            <w:tcMar>
              <w:top w:w="80" w:type="dxa"/>
              <w:bottom w:w="80" w:type="dxa"/>
              <w:left w:w="120" w:type="dxa"/>
              <w:right w:w="120" w:type="dxa"/>
            </w:tcMar>
            <w:shd w:fill="0F172A"/>
          </w:tcPr>
          <w:p>
            <w:pPr>
              <w:spacing w:before="0" w:after="0"/>
              <w:jc w:val="left"/>
            </w:pPr>
            <w:r>
              <w:rPr>
                <w:rFonts w:ascii="Calibri" w:hAnsi="Calibri"/>
                <w:b/>
                <w:color w:val="FFFFFF"/>
                <w:sz w:val="17"/>
              </w:rPr>
              <w:t>Target Subsystem Verified</w:t>
            </w:r>
          </w:p>
        </w:tc>
        <w:tc>
          <w:tcPr>
            <w:tcW w:type="dxa" w:w="1296"/>
            <w:tcMar>
              <w:top w:w="80" w:type="dxa"/>
              <w:bottom w:w="80" w:type="dxa"/>
              <w:left w:w="120" w:type="dxa"/>
              <w:right w:w="120" w:type="dxa"/>
            </w:tcMar>
            <w:shd w:fill="0F172A"/>
          </w:tcPr>
          <w:p>
            <w:pPr>
              <w:spacing w:before="0" w:after="0"/>
              <w:jc w:val="left"/>
            </w:pPr>
            <w:r>
              <w:rPr>
                <w:rFonts w:ascii="Calibri" w:hAnsi="Calibri"/>
                <w:b/>
                <w:color w:val="FFFFFF"/>
                <w:sz w:val="17"/>
              </w:rPr>
              <w:t>Tests Count</w:t>
            </w:r>
          </w:p>
        </w:tc>
        <w:tc>
          <w:tcPr>
            <w:tcW w:type="dxa" w:w="1584"/>
            <w:tcMar>
              <w:top w:w="80" w:type="dxa"/>
              <w:bottom w:w="80" w:type="dxa"/>
              <w:left w:w="120" w:type="dxa"/>
              <w:right w:w="120" w:type="dxa"/>
            </w:tcMar>
            <w:shd w:fill="0F172A"/>
          </w:tcPr>
          <w:p>
            <w:pPr>
              <w:spacing w:before="0" w:after="0"/>
              <w:jc w:val="left"/>
            </w:pPr>
            <w:r>
              <w:rPr>
                <w:rFonts w:ascii="Calibri" w:hAnsi="Calibri"/>
                <w:b/>
                <w:color w:val="FFFFFF"/>
                <w:sz w:val="17"/>
              </w:rPr>
              <w:t>Verified Status</w:t>
            </w:r>
          </w:p>
        </w:tc>
        <w:tc>
          <w:tcPr>
            <w:tcW w:type="dxa" w:w="1296"/>
            <w:tcMar>
              <w:top w:w="80" w:type="dxa"/>
              <w:bottom w:w="80" w:type="dxa"/>
              <w:left w:w="120" w:type="dxa"/>
              <w:right w:w="120" w:type="dxa"/>
            </w:tcMar>
            <w:shd w:fill="0F172A"/>
          </w:tcPr>
          <w:p>
            <w:pPr>
              <w:spacing w:before="0" w:after="0"/>
              <w:jc w:val="left"/>
            </w:pPr>
            <w:r>
              <w:rPr>
                <w:rFonts w:ascii="Calibri" w:hAnsi="Calibri"/>
                <w:b/>
                <w:color w:val="FFFFFF"/>
                <w:sz w:val="17"/>
              </w:rPr>
              <w:t>Execution Time</w:t>
            </w:r>
          </w:p>
        </w:tc>
      </w:tr>
      <w:tr>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test_auth.py</w:t>
            </w:r>
          </w:p>
        </w:tc>
        <w:tc>
          <w:tcPr>
            <w:tcW w:type="dxa" w:w="2880"/>
            <w:tcMar>
              <w:top w:w="60" w:type="dxa"/>
              <w:bottom w:w="60" w:type="dxa"/>
              <w:left w:w="120" w:type="dxa"/>
              <w:right w:w="120" w:type="dxa"/>
            </w:tcMar>
            <w:shd w:fill="FFFFFF"/>
          </w:tcPr>
          <w:p>
            <w:pPr>
              <w:spacing w:before="0" w:after="0" w:line="245" w:lineRule="auto"/>
              <w:jc w:val="left"/>
            </w:pPr>
            <w:r>
              <w:rPr>
                <w:rFonts w:ascii="Calibri" w:hAnsi="Calibri"/>
                <w:color w:val="1F2937"/>
                <w:sz w:val="16"/>
              </w:rPr>
              <w:t>Registration, Argon2id, Login, JWT tokens</w:t>
            </w:r>
          </w:p>
        </w:tc>
        <w:tc>
          <w:tcPr>
            <w:tcW w:type="dxa" w:w="1296"/>
            <w:tcMar>
              <w:top w:w="60" w:type="dxa"/>
              <w:bottom w:w="60" w:type="dxa"/>
              <w:left w:w="120" w:type="dxa"/>
              <w:right w:w="120" w:type="dxa"/>
            </w:tcMar>
            <w:shd w:fill="FFFFFF"/>
          </w:tcPr>
          <w:p>
            <w:pPr>
              <w:spacing w:before="0" w:after="0" w:line="245" w:lineRule="auto"/>
              <w:jc w:val="left"/>
            </w:pPr>
            <w:r>
              <w:rPr>
                <w:rFonts w:ascii="Calibri" w:hAnsi="Calibri"/>
                <w:color w:val="1F2937"/>
                <w:sz w:val="16"/>
              </w:rPr>
              <w:t>11</w:t>
            </w:r>
          </w:p>
        </w:tc>
        <w:tc>
          <w:tcPr>
            <w:tcW w:type="dxa" w:w="1584"/>
            <w:tcMar>
              <w:top w:w="60" w:type="dxa"/>
              <w:bottom w:w="60" w:type="dxa"/>
              <w:left w:w="120" w:type="dxa"/>
              <w:right w:w="120" w:type="dxa"/>
            </w:tcMar>
            <w:shd w:fill="FFFFFF"/>
          </w:tcPr>
          <w:p>
            <w:pPr>
              <w:spacing w:before="0" w:after="0" w:line="245" w:lineRule="auto"/>
              <w:jc w:val="left"/>
            </w:pPr>
            <w:r>
              <w:rPr>
                <w:rFonts w:ascii="Calibri" w:hAnsi="Calibri"/>
                <w:color w:val="1F2937"/>
                <w:sz w:val="16"/>
              </w:rPr>
              <w:t>PASSED (100%)</w:t>
            </w:r>
          </w:p>
        </w:tc>
        <w:tc>
          <w:tcPr>
            <w:tcW w:type="dxa" w:w="1296"/>
            <w:tcMar>
              <w:top w:w="60" w:type="dxa"/>
              <w:bottom w:w="60" w:type="dxa"/>
              <w:left w:w="120" w:type="dxa"/>
              <w:right w:w="120" w:type="dxa"/>
            </w:tcMar>
            <w:shd w:fill="FFFFFF"/>
          </w:tcPr>
          <w:p>
            <w:pPr>
              <w:spacing w:before="0" w:after="0" w:line="245" w:lineRule="auto"/>
              <w:jc w:val="left"/>
            </w:pPr>
            <w:r>
              <w:rPr>
                <w:rFonts w:ascii="Calibri" w:hAnsi="Calibri"/>
                <w:color w:val="1F2937"/>
                <w:sz w:val="16"/>
              </w:rPr>
              <w:t>3.42s</w:t>
            </w:r>
          </w:p>
        </w:tc>
      </w:tr>
      <w:tr>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test_authorization.py</w:t>
            </w:r>
          </w:p>
        </w:tc>
        <w:tc>
          <w:tcPr>
            <w:tcW w:type="dxa" w:w="2880"/>
            <w:tcMar>
              <w:top w:w="60" w:type="dxa"/>
              <w:bottom w:w="60" w:type="dxa"/>
              <w:left w:w="120" w:type="dxa"/>
              <w:right w:w="120" w:type="dxa"/>
            </w:tcMar>
            <w:shd w:fill="F8FAFC"/>
          </w:tcPr>
          <w:p>
            <w:pPr>
              <w:spacing w:before="0" w:after="0" w:line="245" w:lineRule="auto"/>
              <w:jc w:val="left"/>
            </w:pPr>
            <w:r>
              <w:rPr>
                <w:rFonts w:ascii="Calibri" w:hAnsi="Calibri"/>
                <w:color w:val="1F2937"/>
                <w:sz w:val="16"/>
              </w:rPr>
              <w:t>Multi-tenant isolation, cross-user denial</w:t>
            </w:r>
          </w:p>
        </w:tc>
        <w:tc>
          <w:tcPr>
            <w:tcW w:type="dxa" w:w="1296"/>
            <w:tcMar>
              <w:top w:w="60" w:type="dxa"/>
              <w:bottom w:w="60" w:type="dxa"/>
              <w:left w:w="120" w:type="dxa"/>
              <w:right w:w="120" w:type="dxa"/>
            </w:tcMar>
            <w:shd w:fill="F8FAFC"/>
          </w:tcPr>
          <w:p>
            <w:pPr>
              <w:spacing w:before="0" w:after="0" w:line="245" w:lineRule="auto"/>
              <w:jc w:val="left"/>
            </w:pPr>
            <w:r>
              <w:rPr>
                <w:rFonts w:ascii="Calibri" w:hAnsi="Calibri"/>
                <w:color w:val="1F2937"/>
                <w:sz w:val="16"/>
              </w:rPr>
              <w:t>6</w:t>
            </w:r>
          </w:p>
        </w:tc>
        <w:tc>
          <w:tcPr>
            <w:tcW w:type="dxa" w:w="1584"/>
            <w:tcMar>
              <w:top w:w="60" w:type="dxa"/>
              <w:bottom w:w="60" w:type="dxa"/>
              <w:left w:w="120" w:type="dxa"/>
              <w:right w:w="120" w:type="dxa"/>
            </w:tcMar>
            <w:shd w:fill="F8FAFC"/>
          </w:tcPr>
          <w:p>
            <w:pPr>
              <w:spacing w:before="0" w:after="0" w:line="245" w:lineRule="auto"/>
              <w:jc w:val="left"/>
            </w:pPr>
            <w:r>
              <w:rPr>
                <w:rFonts w:ascii="Calibri" w:hAnsi="Calibri"/>
                <w:color w:val="1F2937"/>
                <w:sz w:val="16"/>
              </w:rPr>
              <w:t>PASSED (100%)</w:t>
            </w:r>
          </w:p>
        </w:tc>
        <w:tc>
          <w:tcPr>
            <w:tcW w:type="dxa" w:w="1296"/>
            <w:tcMar>
              <w:top w:w="60" w:type="dxa"/>
              <w:bottom w:w="60" w:type="dxa"/>
              <w:left w:w="120" w:type="dxa"/>
              <w:right w:w="120" w:type="dxa"/>
            </w:tcMar>
            <w:shd w:fill="F8FAFC"/>
          </w:tcPr>
          <w:p>
            <w:pPr>
              <w:spacing w:before="0" w:after="0" w:line="245" w:lineRule="auto"/>
              <w:jc w:val="left"/>
            </w:pPr>
            <w:r>
              <w:rPr>
                <w:rFonts w:ascii="Calibri" w:hAnsi="Calibri"/>
                <w:color w:val="1F2937"/>
                <w:sz w:val="16"/>
              </w:rPr>
              <w:t>2.18s</w:t>
            </w:r>
          </w:p>
        </w:tc>
      </w:tr>
      <w:tr>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test_encryption.py</w:t>
            </w:r>
          </w:p>
        </w:tc>
        <w:tc>
          <w:tcPr>
            <w:tcW w:type="dxa" w:w="2880"/>
            <w:tcMar>
              <w:top w:w="60" w:type="dxa"/>
              <w:bottom w:w="60" w:type="dxa"/>
              <w:left w:w="120" w:type="dxa"/>
              <w:right w:w="120" w:type="dxa"/>
            </w:tcMar>
            <w:shd w:fill="FFFFFF"/>
          </w:tcPr>
          <w:p>
            <w:pPr>
              <w:spacing w:before="0" w:after="0" w:line="245" w:lineRule="auto"/>
              <w:jc w:val="left"/>
            </w:pPr>
            <w:r>
              <w:rPr>
                <w:rFonts w:ascii="Calibri" w:hAnsi="Calibri"/>
                <w:color w:val="1F2937"/>
                <w:sz w:val="16"/>
              </w:rPr>
              <w:t>AES-256-GCM, AAD binding, tamper test</w:t>
            </w:r>
          </w:p>
        </w:tc>
        <w:tc>
          <w:tcPr>
            <w:tcW w:type="dxa" w:w="1296"/>
            <w:tcMar>
              <w:top w:w="60" w:type="dxa"/>
              <w:bottom w:w="60" w:type="dxa"/>
              <w:left w:w="120" w:type="dxa"/>
              <w:right w:w="120" w:type="dxa"/>
            </w:tcMar>
            <w:shd w:fill="FFFFFF"/>
          </w:tcPr>
          <w:p>
            <w:pPr>
              <w:spacing w:before="0" w:after="0" w:line="245" w:lineRule="auto"/>
              <w:jc w:val="left"/>
            </w:pPr>
            <w:r>
              <w:rPr>
                <w:rFonts w:ascii="Calibri" w:hAnsi="Calibri"/>
                <w:color w:val="1F2937"/>
                <w:sz w:val="16"/>
              </w:rPr>
              <w:t>8</w:t>
            </w:r>
          </w:p>
        </w:tc>
        <w:tc>
          <w:tcPr>
            <w:tcW w:type="dxa" w:w="1584"/>
            <w:tcMar>
              <w:top w:w="60" w:type="dxa"/>
              <w:bottom w:w="60" w:type="dxa"/>
              <w:left w:w="120" w:type="dxa"/>
              <w:right w:w="120" w:type="dxa"/>
            </w:tcMar>
            <w:shd w:fill="FFFFFF"/>
          </w:tcPr>
          <w:p>
            <w:pPr>
              <w:spacing w:before="0" w:after="0" w:line="245" w:lineRule="auto"/>
              <w:jc w:val="left"/>
            </w:pPr>
            <w:r>
              <w:rPr>
                <w:rFonts w:ascii="Calibri" w:hAnsi="Calibri"/>
                <w:color w:val="1F2937"/>
                <w:sz w:val="16"/>
              </w:rPr>
              <w:t>PASSED (100%)</w:t>
            </w:r>
          </w:p>
        </w:tc>
        <w:tc>
          <w:tcPr>
            <w:tcW w:type="dxa" w:w="1296"/>
            <w:tcMar>
              <w:top w:w="60" w:type="dxa"/>
              <w:bottom w:w="60" w:type="dxa"/>
              <w:left w:w="120" w:type="dxa"/>
              <w:right w:w="120" w:type="dxa"/>
            </w:tcMar>
            <w:shd w:fill="FFFFFF"/>
          </w:tcPr>
          <w:p>
            <w:pPr>
              <w:spacing w:before="0" w:after="0" w:line="245" w:lineRule="auto"/>
              <w:jc w:val="left"/>
            </w:pPr>
            <w:r>
              <w:rPr>
                <w:rFonts w:ascii="Calibri" w:hAnsi="Calibri"/>
                <w:color w:val="1F2937"/>
                <w:sz w:val="16"/>
              </w:rPr>
              <w:t>2.85s</w:t>
            </w:r>
          </w:p>
        </w:tc>
      </w:tr>
      <w:tr>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test_files.py</w:t>
            </w:r>
          </w:p>
        </w:tc>
        <w:tc>
          <w:tcPr>
            <w:tcW w:type="dxa" w:w="2880"/>
            <w:tcMar>
              <w:top w:w="60" w:type="dxa"/>
              <w:bottom w:w="60" w:type="dxa"/>
              <w:left w:w="120" w:type="dxa"/>
              <w:right w:w="120" w:type="dxa"/>
            </w:tcMar>
            <w:shd w:fill="F8FAFC"/>
          </w:tcPr>
          <w:p>
            <w:pPr>
              <w:spacing w:before="0" w:after="0" w:line="245" w:lineRule="auto"/>
              <w:jc w:val="left"/>
            </w:pPr>
            <w:r>
              <w:rPr>
                <w:rFonts w:ascii="Calibri" w:hAnsi="Calibri"/>
                <w:color w:val="1F2937"/>
                <w:sz w:val="16"/>
              </w:rPr>
              <w:t>Upload, decrypt stream, deletion, metadata</w:t>
            </w:r>
          </w:p>
        </w:tc>
        <w:tc>
          <w:tcPr>
            <w:tcW w:type="dxa" w:w="1296"/>
            <w:tcMar>
              <w:top w:w="60" w:type="dxa"/>
              <w:bottom w:w="60" w:type="dxa"/>
              <w:left w:w="120" w:type="dxa"/>
              <w:right w:w="120" w:type="dxa"/>
            </w:tcMar>
            <w:shd w:fill="F8FAFC"/>
          </w:tcPr>
          <w:p>
            <w:pPr>
              <w:spacing w:before="0" w:after="0" w:line="245" w:lineRule="auto"/>
              <w:jc w:val="left"/>
            </w:pPr>
            <w:r>
              <w:rPr>
                <w:rFonts w:ascii="Calibri" w:hAnsi="Calibri"/>
                <w:color w:val="1F2937"/>
                <w:sz w:val="16"/>
              </w:rPr>
              <w:t>8</w:t>
            </w:r>
          </w:p>
        </w:tc>
        <w:tc>
          <w:tcPr>
            <w:tcW w:type="dxa" w:w="1584"/>
            <w:tcMar>
              <w:top w:w="60" w:type="dxa"/>
              <w:bottom w:w="60" w:type="dxa"/>
              <w:left w:w="120" w:type="dxa"/>
              <w:right w:w="120" w:type="dxa"/>
            </w:tcMar>
            <w:shd w:fill="F8FAFC"/>
          </w:tcPr>
          <w:p>
            <w:pPr>
              <w:spacing w:before="0" w:after="0" w:line="245" w:lineRule="auto"/>
              <w:jc w:val="left"/>
            </w:pPr>
            <w:r>
              <w:rPr>
                <w:rFonts w:ascii="Calibri" w:hAnsi="Calibri"/>
                <w:color w:val="1F2937"/>
                <w:sz w:val="16"/>
              </w:rPr>
              <w:t>PASSED (100%)</w:t>
            </w:r>
          </w:p>
        </w:tc>
        <w:tc>
          <w:tcPr>
            <w:tcW w:type="dxa" w:w="1296"/>
            <w:tcMar>
              <w:top w:w="60" w:type="dxa"/>
              <w:bottom w:w="60" w:type="dxa"/>
              <w:left w:w="120" w:type="dxa"/>
              <w:right w:w="120" w:type="dxa"/>
            </w:tcMar>
            <w:shd w:fill="F8FAFC"/>
          </w:tcPr>
          <w:p>
            <w:pPr>
              <w:spacing w:before="0" w:after="0" w:line="245" w:lineRule="auto"/>
              <w:jc w:val="left"/>
            </w:pPr>
            <w:r>
              <w:rPr>
                <w:rFonts w:ascii="Calibri" w:hAnsi="Calibri"/>
                <w:color w:val="1F2937"/>
                <w:sz w:val="16"/>
              </w:rPr>
              <w:t>2.61s</w:t>
            </w:r>
          </w:p>
        </w:tc>
      </w:tr>
    </w:tbl>
    <w:p>
      <w:pPr>
        <w:spacing w:before="0" w:after="60"/>
      </w:pPr>
    </w:p>
    <w:p>
      <w:pPr>
        <w:spacing w:before="80" w:after="20"/>
        <w:jc w:val="center"/>
      </w:pPr>
      <w:r>
        <w:drawing>
          <wp:inline xmlns:a="http://schemas.openxmlformats.org/drawingml/2006/main" xmlns:pic="http://schemas.openxmlformats.org/drawingml/2006/picture">
            <wp:extent cx="4754880" cy="1978519"/>
            <wp:docPr id="4" name="Picture 4"/>
            <wp:cNvGraphicFramePr>
              <a:graphicFrameLocks noChangeAspect="1"/>
            </wp:cNvGraphicFramePr>
            <a:graphic>
              <a:graphicData uri="http://schemas.openxmlformats.org/drawingml/2006/picture">
                <pic:pic>
                  <pic:nvPicPr>
                    <pic:cNvPr id="0" name="fig5_1_test_breakdown.png"/>
                    <pic:cNvPicPr/>
                  </pic:nvPicPr>
                  <pic:blipFill>
                    <a:blip r:embed="rId14"/>
                    <a:stretch>
                      <a:fillRect/>
                    </a:stretch>
                  </pic:blipFill>
                  <pic:spPr>
                    <a:xfrm>
                      <a:off x="0" y="0"/>
                      <a:ext cx="4754880" cy="1978519"/>
                    </a:xfrm>
                    <a:prstGeom prst="rect"/>
                  </pic:spPr>
                </pic:pic>
              </a:graphicData>
            </a:graphic>
          </wp:inline>
        </w:drawing>
      </w:r>
    </w:p>
    <w:p>
      <w:pPr>
        <w:spacing w:before="20" w:after="100"/>
        <w:jc w:val="center"/>
      </w:pPr>
      <w:r>
        <w:rPr>
          <w:rFonts w:ascii="Calibri" w:hAnsi="Calibri"/>
          <w:b/>
          <w:color w:val="1E3A8A"/>
          <w:sz w:val="18"/>
        </w:rPr>
        <w:t>Figure 5.1: Backend Test Suite Distribution &amp; Verification Breakdown</w:t>
      </w:r>
    </w:p>
    <w:p>
      <w:pPr>
        <w:keepNext/>
        <w:spacing w:before="160" w:after="50"/>
      </w:pPr>
      <w:r>
        <w:rPr>
          <w:rFonts w:ascii="Calibri" w:hAnsi="Calibri"/>
          <w:b/>
          <w:color w:val="1E3A8A"/>
          <w:sz w:val="24"/>
        </w:rPr>
        <w:t>5.2 End-to-End Live Demonstration Workflow</w:t>
      </w:r>
    </w:p>
    <w:p>
      <w:pPr>
        <w:spacing w:before="0" w:after="70" w:line="269" w:lineRule="auto"/>
        <w:jc w:val="both"/>
      </w:pPr>
      <w:r>
        <w:rPr>
          <w:rFonts w:ascii="Calibri" w:hAnsi="Calibri"/>
          <w:color w:val="1F2937"/>
          <w:sz w:val="20"/>
        </w:rPr>
        <w:t>System functionality was exercised through a live 10-step end-to-end verification sequence on the running application using authentic PDF, DOCX, and text records. Table 5.2 records each execution step and its verified outcome.</w:t>
      </w:r>
    </w:p>
    <w:p>
      <w:pPr>
        <w:spacing w:before="80" w:after="40"/>
      </w:pPr>
      <w:r>
        <w:rPr>
          <w:b/>
          <w:color w:val="1E3A8A"/>
          <w:sz w:val="17"/>
        </w:rPr>
        <w:t>Table 5.2: Live 10-Step End-to-End Workflow Verification Results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Header/>
      </w:tblPr>
      <w:tblGrid>
        <w:gridCol w:w="2340"/>
        <w:gridCol w:w="2340"/>
        <w:gridCol w:w="2340"/>
        <w:gridCol w:w="2340"/>
      </w:tblGrid>
      <w:tr>
        <w:tc>
          <w:tcPr>
            <w:tcW w:type="dxa" w:w="864"/>
            <w:tcMar>
              <w:top w:w="80" w:type="dxa"/>
              <w:bottom w:w="80" w:type="dxa"/>
              <w:left w:w="120" w:type="dxa"/>
              <w:right w:w="120" w:type="dxa"/>
            </w:tcMar>
            <w:shd w:fill="0F172A"/>
          </w:tcPr>
          <w:p>
            <w:pPr>
              <w:spacing w:before="0" w:after="0"/>
              <w:jc w:val="left"/>
            </w:pPr>
            <w:r>
              <w:rPr>
                <w:rFonts w:ascii="Calibri" w:hAnsi="Calibri"/>
                <w:b/>
                <w:color w:val="FFFFFF"/>
                <w:sz w:val="17"/>
              </w:rPr>
              <w:t>Step</w:t>
            </w:r>
          </w:p>
        </w:tc>
        <w:tc>
          <w:tcPr>
            <w:tcW w:type="dxa" w:w="2592"/>
            <w:tcMar>
              <w:top w:w="80" w:type="dxa"/>
              <w:bottom w:w="80" w:type="dxa"/>
              <w:left w:w="120" w:type="dxa"/>
              <w:right w:w="120" w:type="dxa"/>
            </w:tcMar>
            <w:shd w:fill="0F172A"/>
          </w:tcPr>
          <w:p>
            <w:pPr>
              <w:spacing w:before="0" w:after="0"/>
              <w:jc w:val="left"/>
            </w:pPr>
            <w:r>
              <w:rPr>
                <w:rFonts w:ascii="Calibri" w:hAnsi="Calibri"/>
                <w:b/>
                <w:color w:val="FFFFFF"/>
                <w:sz w:val="17"/>
              </w:rPr>
              <w:t>Workflow Phase</w:t>
            </w:r>
          </w:p>
        </w:tc>
        <w:tc>
          <w:tcPr>
            <w:tcW w:type="dxa" w:w="2592"/>
            <w:tcMar>
              <w:top w:w="80" w:type="dxa"/>
              <w:bottom w:w="80" w:type="dxa"/>
              <w:left w:w="120" w:type="dxa"/>
              <w:right w:w="120" w:type="dxa"/>
            </w:tcMar>
            <w:shd w:fill="0F172A"/>
          </w:tcPr>
          <w:p>
            <w:pPr>
              <w:spacing w:before="0" w:after="0"/>
              <w:jc w:val="left"/>
            </w:pPr>
            <w:r>
              <w:rPr>
                <w:rFonts w:ascii="Calibri" w:hAnsi="Calibri"/>
                <w:b/>
                <w:color w:val="FFFFFF"/>
                <w:sz w:val="17"/>
              </w:rPr>
              <w:t>Invoked Endpoint / Component</w:t>
            </w:r>
          </w:p>
        </w:tc>
        <w:tc>
          <w:tcPr>
            <w:tcW w:type="dxa" w:w="3600"/>
            <w:tcMar>
              <w:top w:w="80" w:type="dxa"/>
              <w:bottom w:w="80" w:type="dxa"/>
              <w:left w:w="120" w:type="dxa"/>
              <w:right w:w="120" w:type="dxa"/>
            </w:tcMar>
            <w:shd w:fill="0F172A"/>
          </w:tcPr>
          <w:p>
            <w:pPr>
              <w:spacing w:before="0" w:after="0"/>
              <w:jc w:val="left"/>
            </w:pPr>
            <w:r>
              <w:rPr>
                <w:rFonts w:ascii="Calibri" w:hAnsi="Calibri"/>
                <w:b/>
                <w:color w:val="FFFFFF"/>
                <w:sz w:val="17"/>
              </w:rPr>
              <w:t>Verified Real Outcome</w:t>
            </w:r>
          </w:p>
        </w:tc>
      </w:tr>
      <w:tr>
        <w:tc>
          <w:tcPr>
            <w:tcW w:type="dxa" w:w="864"/>
            <w:tcMar>
              <w:top w:w="60" w:type="dxa"/>
              <w:bottom w:w="60" w:type="dxa"/>
              <w:left w:w="120" w:type="dxa"/>
              <w:right w:w="120" w:type="dxa"/>
            </w:tcMar>
            <w:shd w:fill="FFFFFF"/>
          </w:tcPr>
          <w:p>
            <w:pPr>
              <w:spacing w:before="0" w:after="0" w:line="245" w:lineRule="auto"/>
              <w:jc w:val="left"/>
            </w:pPr>
            <w:r>
              <w:rPr>
                <w:rFonts w:ascii="Calibri" w:hAnsi="Calibri"/>
                <w:color w:val="1F2937"/>
                <w:sz w:val="16"/>
              </w:rPr>
              <w:t>1</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Health Diagnostic</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GET /api/health</w:t>
            </w:r>
          </w:p>
        </w:tc>
        <w:tc>
          <w:tcPr>
            <w:tcW w:type="dxa" w:w="3600"/>
            <w:tcMar>
              <w:top w:w="60" w:type="dxa"/>
              <w:bottom w:w="60" w:type="dxa"/>
              <w:left w:w="120" w:type="dxa"/>
              <w:right w:w="120" w:type="dxa"/>
            </w:tcMar>
            <w:shd w:fill="FFFFFF"/>
          </w:tcPr>
          <w:p>
            <w:pPr>
              <w:spacing w:before="0" w:after="0" w:line="245" w:lineRule="auto"/>
              <w:jc w:val="left"/>
            </w:pPr>
            <w:r>
              <w:rPr>
                <w:rFonts w:ascii="Calibri" w:hAnsi="Calibri"/>
                <w:color w:val="1F2937"/>
                <w:sz w:val="16"/>
              </w:rPr>
              <w:t>Returned status: 'healthy', database: true, version 1.0.0</w:t>
            </w:r>
          </w:p>
        </w:tc>
      </w:tr>
      <w:tr>
        <w:tc>
          <w:tcPr>
            <w:tcW w:type="dxa" w:w="864"/>
            <w:tcMar>
              <w:top w:w="60" w:type="dxa"/>
              <w:bottom w:w="60" w:type="dxa"/>
              <w:left w:w="120" w:type="dxa"/>
              <w:right w:w="120" w:type="dxa"/>
            </w:tcMar>
            <w:shd w:fill="F8FAFC"/>
          </w:tcPr>
          <w:p>
            <w:pPr>
              <w:spacing w:before="0" w:after="0" w:line="245" w:lineRule="auto"/>
              <w:jc w:val="left"/>
            </w:pPr>
            <w:r>
              <w:rPr>
                <w:rFonts w:ascii="Calibri" w:hAnsi="Calibri"/>
                <w:color w:val="1F2937"/>
                <w:sz w:val="16"/>
              </w:rPr>
              <w:t>2</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User Onboarding</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POST /api/auth/register</w:t>
            </w:r>
          </w:p>
        </w:tc>
        <w:tc>
          <w:tcPr>
            <w:tcW w:type="dxa" w:w="3600"/>
            <w:tcMar>
              <w:top w:w="60" w:type="dxa"/>
              <w:bottom w:w="60" w:type="dxa"/>
              <w:left w:w="120" w:type="dxa"/>
              <w:right w:w="120" w:type="dxa"/>
            </w:tcMar>
            <w:shd w:fill="F8FAFC"/>
          </w:tcPr>
          <w:p>
            <w:pPr>
              <w:spacing w:before="0" w:after="0" w:line="245" w:lineRule="auto"/>
              <w:jc w:val="left"/>
            </w:pPr>
            <w:r>
              <w:rPr>
                <w:rFonts w:ascii="Calibri" w:hAnsi="Calibri"/>
                <w:color w:val="1F2937"/>
                <w:sz w:val="16"/>
              </w:rPr>
              <w:t>Validated password complexity; persisted Argon2id hash</w:t>
            </w:r>
          </w:p>
        </w:tc>
      </w:tr>
      <w:tr>
        <w:tc>
          <w:tcPr>
            <w:tcW w:type="dxa" w:w="864"/>
            <w:tcMar>
              <w:top w:w="60" w:type="dxa"/>
              <w:bottom w:w="60" w:type="dxa"/>
              <w:left w:w="120" w:type="dxa"/>
              <w:right w:w="120" w:type="dxa"/>
            </w:tcMar>
            <w:shd w:fill="FFFFFF"/>
          </w:tcPr>
          <w:p>
            <w:pPr>
              <w:spacing w:before="0" w:after="0" w:line="245" w:lineRule="auto"/>
              <w:jc w:val="left"/>
            </w:pPr>
            <w:r>
              <w:rPr>
                <w:rFonts w:ascii="Calibri" w:hAnsi="Calibri"/>
                <w:color w:val="1F2937"/>
                <w:sz w:val="16"/>
              </w:rPr>
              <w:t>3</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Authentication</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POST /api/auth/login</w:t>
            </w:r>
          </w:p>
        </w:tc>
        <w:tc>
          <w:tcPr>
            <w:tcW w:type="dxa" w:w="3600"/>
            <w:tcMar>
              <w:top w:w="60" w:type="dxa"/>
              <w:bottom w:w="60" w:type="dxa"/>
              <w:left w:w="120" w:type="dxa"/>
              <w:right w:w="120" w:type="dxa"/>
            </w:tcMar>
            <w:shd w:fill="FFFFFF"/>
          </w:tcPr>
          <w:p>
            <w:pPr>
              <w:spacing w:before="0" w:after="0" w:line="245" w:lineRule="auto"/>
              <w:jc w:val="left"/>
            </w:pPr>
            <w:r>
              <w:rPr>
                <w:rFonts w:ascii="Calibri" w:hAnsi="Calibri"/>
                <w:color w:val="1F2937"/>
                <w:sz w:val="16"/>
              </w:rPr>
              <w:t>Verified credentials; issued 30-minute signed JWT token</w:t>
            </w:r>
          </w:p>
        </w:tc>
      </w:tr>
      <w:tr>
        <w:tc>
          <w:tcPr>
            <w:tcW w:type="dxa" w:w="864"/>
            <w:tcMar>
              <w:top w:w="60" w:type="dxa"/>
              <w:bottom w:w="60" w:type="dxa"/>
              <w:left w:w="120" w:type="dxa"/>
              <w:right w:w="120" w:type="dxa"/>
            </w:tcMar>
            <w:shd w:fill="F8FAFC"/>
          </w:tcPr>
          <w:p>
            <w:pPr>
              <w:spacing w:before="0" w:after="0" w:line="245" w:lineRule="auto"/>
              <w:jc w:val="left"/>
            </w:pPr>
            <w:r>
              <w:rPr>
                <w:rFonts w:ascii="Calibri" w:hAnsi="Calibri"/>
                <w:color w:val="1F2937"/>
                <w:sz w:val="16"/>
              </w:rPr>
              <w:t>4</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File Upload</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POST /api/files/encrypt</w:t>
            </w:r>
          </w:p>
        </w:tc>
        <w:tc>
          <w:tcPr>
            <w:tcW w:type="dxa" w:w="3600"/>
            <w:tcMar>
              <w:top w:w="60" w:type="dxa"/>
              <w:bottom w:w="60" w:type="dxa"/>
              <w:left w:w="120" w:type="dxa"/>
              <w:right w:w="120" w:type="dxa"/>
            </w:tcMar>
            <w:shd w:fill="F8FAFC"/>
          </w:tcPr>
          <w:p>
            <w:pPr>
              <w:spacing w:before="0" w:after="0" w:line="245" w:lineRule="auto"/>
              <w:jc w:val="left"/>
            </w:pPr>
            <w:r>
              <w:rPr>
                <w:rFonts w:ascii="Calibri" w:hAnsi="Calibri"/>
                <w:color w:val="1F2937"/>
                <w:sz w:val="16"/>
              </w:rPr>
              <w:t>Generated DEK &amp; nonce; encrypted and uploaded ciphertext</w:t>
            </w:r>
          </w:p>
        </w:tc>
      </w:tr>
      <w:tr>
        <w:tc>
          <w:tcPr>
            <w:tcW w:type="dxa" w:w="864"/>
            <w:tcMar>
              <w:top w:w="60" w:type="dxa"/>
              <w:bottom w:w="60" w:type="dxa"/>
              <w:left w:w="120" w:type="dxa"/>
              <w:right w:w="120" w:type="dxa"/>
            </w:tcMar>
            <w:shd w:fill="FFFFFF"/>
          </w:tcPr>
          <w:p>
            <w:pPr>
              <w:spacing w:before="0" w:after="0" w:line="245" w:lineRule="auto"/>
              <w:jc w:val="left"/>
            </w:pPr>
            <w:r>
              <w:rPr>
                <w:rFonts w:ascii="Calibri" w:hAnsi="Calibri"/>
                <w:color w:val="1F2937"/>
                <w:sz w:val="16"/>
              </w:rPr>
              <w:t>5</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Ciphertext Check</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StorageProvider Inspection</w:t>
            </w:r>
          </w:p>
        </w:tc>
        <w:tc>
          <w:tcPr>
            <w:tcW w:type="dxa" w:w="3600"/>
            <w:tcMar>
              <w:top w:w="60" w:type="dxa"/>
              <w:bottom w:w="60" w:type="dxa"/>
              <w:left w:w="120" w:type="dxa"/>
              <w:right w:w="120" w:type="dxa"/>
            </w:tcMar>
            <w:shd w:fill="FFFFFF"/>
          </w:tcPr>
          <w:p>
            <w:pPr>
              <w:spacing w:before="0" w:after="0" w:line="245" w:lineRule="auto"/>
              <w:jc w:val="left"/>
            </w:pPr>
            <w:r>
              <w:rPr>
                <w:rFonts w:ascii="Calibri" w:hAnsi="Calibri"/>
                <w:color w:val="1F2937"/>
                <w:sz w:val="16"/>
              </w:rPr>
              <w:t>Confirmed stored object contains raw ciphertext, zero plaintext</w:t>
            </w:r>
          </w:p>
        </w:tc>
      </w:tr>
      <w:tr>
        <w:tc>
          <w:tcPr>
            <w:tcW w:type="dxa" w:w="864"/>
            <w:tcMar>
              <w:top w:w="60" w:type="dxa"/>
              <w:bottom w:w="60" w:type="dxa"/>
              <w:left w:w="120" w:type="dxa"/>
              <w:right w:w="120" w:type="dxa"/>
            </w:tcMar>
            <w:shd w:fill="F8FAFC"/>
          </w:tcPr>
          <w:p>
            <w:pPr>
              <w:spacing w:before="0" w:after="0" w:line="245" w:lineRule="auto"/>
              <w:jc w:val="left"/>
            </w:pPr>
            <w:r>
              <w:rPr>
                <w:rFonts w:ascii="Calibri" w:hAnsi="Calibri"/>
                <w:color w:val="1F2937"/>
                <w:sz w:val="16"/>
              </w:rPr>
              <w:t>6</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Metadata Check</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GET /api/files</w:t>
            </w:r>
          </w:p>
        </w:tc>
        <w:tc>
          <w:tcPr>
            <w:tcW w:type="dxa" w:w="3600"/>
            <w:tcMar>
              <w:top w:w="60" w:type="dxa"/>
              <w:bottom w:w="60" w:type="dxa"/>
              <w:left w:w="120" w:type="dxa"/>
              <w:right w:w="120" w:type="dxa"/>
            </w:tcMar>
            <w:shd w:fill="F8FAFC"/>
          </w:tcPr>
          <w:p>
            <w:pPr>
              <w:spacing w:before="0" w:after="0" w:line="245" w:lineRule="auto"/>
              <w:jc w:val="left"/>
            </w:pPr>
            <w:r>
              <w:rPr>
                <w:rFonts w:ascii="Calibri" w:hAnsi="Calibri"/>
                <w:color w:val="1F2937"/>
                <w:sz w:val="16"/>
              </w:rPr>
              <w:t>Listed encrypted record with algorithm, size, and provider tag</w:t>
            </w:r>
          </w:p>
        </w:tc>
      </w:tr>
      <w:tr>
        <w:tc>
          <w:tcPr>
            <w:tcW w:type="dxa" w:w="864"/>
            <w:tcMar>
              <w:top w:w="60" w:type="dxa"/>
              <w:bottom w:w="60" w:type="dxa"/>
              <w:left w:w="120" w:type="dxa"/>
              <w:right w:w="120" w:type="dxa"/>
            </w:tcMar>
            <w:shd w:fill="FFFFFF"/>
          </w:tcPr>
          <w:p>
            <w:pPr>
              <w:spacing w:before="0" w:after="0" w:line="245" w:lineRule="auto"/>
              <w:jc w:val="left"/>
            </w:pPr>
            <w:r>
              <w:rPr>
                <w:rFonts w:ascii="Calibri" w:hAnsi="Calibri"/>
                <w:color w:val="1F2937"/>
                <w:sz w:val="16"/>
              </w:rPr>
              <w:t>7</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Authorized Decrypt</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POST /api/files/{id}/decrypt</w:t>
            </w:r>
          </w:p>
        </w:tc>
        <w:tc>
          <w:tcPr>
            <w:tcW w:type="dxa" w:w="3600"/>
            <w:tcMar>
              <w:top w:w="60" w:type="dxa"/>
              <w:bottom w:w="60" w:type="dxa"/>
              <w:left w:w="120" w:type="dxa"/>
              <w:right w:w="120" w:type="dxa"/>
            </w:tcMar>
            <w:shd w:fill="FFFFFF"/>
          </w:tcPr>
          <w:p>
            <w:pPr>
              <w:spacing w:before="0" w:after="0" w:line="245" w:lineRule="auto"/>
              <w:jc w:val="left"/>
            </w:pPr>
            <w:r>
              <w:rPr>
                <w:rFonts w:ascii="Calibri" w:hAnsi="Calibri"/>
                <w:color w:val="1F2937"/>
                <w:sz w:val="16"/>
              </w:rPr>
              <w:t>Unwrapped DEK, verified GCM tag; streamed original plaintext</w:t>
            </w:r>
          </w:p>
        </w:tc>
      </w:tr>
      <w:tr>
        <w:tc>
          <w:tcPr>
            <w:tcW w:type="dxa" w:w="864"/>
            <w:tcMar>
              <w:top w:w="60" w:type="dxa"/>
              <w:bottom w:w="60" w:type="dxa"/>
              <w:left w:w="120" w:type="dxa"/>
              <w:right w:w="120" w:type="dxa"/>
            </w:tcMar>
            <w:shd w:fill="F8FAFC"/>
          </w:tcPr>
          <w:p>
            <w:pPr>
              <w:spacing w:before="0" w:after="0" w:line="245" w:lineRule="auto"/>
              <w:jc w:val="left"/>
            </w:pPr>
            <w:r>
              <w:rPr>
                <w:rFonts w:ascii="Calibri" w:hAnsi="Calibri"/>
                <w:color w:val="1F2937"/>
                <w:sz w:val="16"/>
              </w:rPr>
              <w:t>8</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Cross-User Isolation</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POST /api/files/{id}/decrypt (User B)</w:t>
            </w:r>
          </w:p>
        </w:tc>
        <w:tc>
          <w:tcPr>
            <w:tcW w:type="dxa" w:w="3600"/>
            <w:tcMar>
              <w:top w:w="60" w:type="dxa"/>
              <w:bottom w:w="60" w:type="dxa"/>
              <w:left w:w="120" w:type="dxa"/>
              <w:right w:w="120" w:type="dxa"/>
            </w:tcMar>
            <w:shd w:fill="F8FAFC"/>
          </w:tcPr>
          <w:p>
            <w:pPr>
              <w:spacing w:before="0" w:after="0" w:line="245" w:lineRule="auto"/>
              <w:jc w:val="left"/>
            </w:pPr>
            <w:r>
              <w:rPr>
                <w:rFonts w:ascii="Calibri" w:hAnsi="Calibri"/>
                <w:color w:val="1F2937"/>
                <w:sz w:val="16"/>
              </w:rPr>
              <w:t>Server intercepted request; returned HTTP 403 Access Denied</w:t>
            </w:r>
          </w:p>
        </w:tc>
      </w:tr>
      <w:tr>
        <w:tc>
          <w:tcPr>
            <w:tcW w:type="dxa" w:w="864"/>
            <w:tcMar>
              <w:top w:w="60" w:type="dxa"/>
              <w:bottom w:w="60" w:type="dxa"/>
              <w:left w:w="120" w:type="dxa"/>
              <w:right w:w="120" w:type="dxa"/>
            </w:tcMar>
            <w:shd w:fill="FFFFFF"/>
          </w:tcPr>
          <w:p>
            <w:pPr>
              <w:spacing w:before="0" w:after="0" w:line="245" w:lineRule="auto"/>
              <w:jc w:val="left"/>
            </w:pPr>
            <w:r>
              <w:rPr>
                <w:rFonts w:ascii="Calibri" w:hAnsi="Calibri"/>
                <w:color w:val="1F2937"/>
                <w:sz w:val="16"/>
              </w:rPr>
              <w:t>9</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Live Tamper Test</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POST /api/files/{id}/tamper-test</w:t>
            </w:r>
          </w:p>
        </w:tc>
        <w:tc>
          <w:tcPr>
            <w:tcW w:type="dxa" w:w="3600"/>
            <w:tcMar>
              <w:top w:w="60" w:type="dxa"/>
              <w:bottom w:w="60" w:type="dxa"/>
              <w:left w:w="120" w:type="dxa"/>
              <w:right w:w="120" w:type="dxa"/>
            </w:tcMar>
            <w:shd w:fill="FFFFFF"/>
          </w:tcPr>
          <w:p>
            <w:pPr>
              <w:spacing w:before="0" w:after="0" w:line="245" w:lineRule="auto"/>
              <w:jc w:val="left"/>
            </w:pPr>
            <w:r>
              <w:rPr>
                <w:rFonts w:ascii="Calibri" w:hAnsi="Calibri"/>
                <w:color w:val="1F2937"/>
                <w:sz w:val="16"/>
              </w:rPr>
              <w:t>Flipped byte in ciphertext; GCM tag failed; HTTP 422 thrown</w:t>
            </w:r>
          </w:p>
        </w:tc>
      </w:tr>
      <w:tr>
        <w:tc>
          <w:tcPr>
            <w:tcW w:type="dxa" w:w="864"/>
            <w:tcMar>
              <w:top w:w="60" w:type="dxa"/>
              <w:bottom w:w="60" w:type="dxa"/>
              <w:left w:w="120" w:type="dxa"/>
              <w:right w:w="120" w:type="dxa"/>
            </w:tcMar>
            <w:shd w:fill="F8FAFC"/>
          </w:tcPr>
          <w:p>
            <w:pPr>
              <w:spacing w:before="0" w:after="0" w:line="245" w:lineRule="auto"/>
              <w:jc w:val="left"/>
            </w:pPr>
            <w:r>
              <w:rPr>
                <w:rFonts w:ascii="Calibri" w:hAnsi="Calibri"/>
                <w:color w:val="1F2937"/>
                <w:sz w:val="16"/>
              </w:rPr>
              <w:t>10</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Audit Telemetry</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GET /api/audit</w:t>
            </w:r>
          </w:p>
        </w:tc>
        <w:tc>
          <w:tcPr>
            <w:tcW w:type="dxa" w:w="3600"/>
            <w:tcMar>
              <w:top w:w="60" w:type="dxa"/>
              <w:bottom w:w="60" w:type="dxa"/>
              <w:left w:w="120" w:type="dxa"/>
              <w:right w:w="120" w:type="dxa"/>
            </w:tcMar>
            <w:shd w:fill="F8FAFC"/>
          </w:tcPr>
          <w:p>
            <w:pPr>
              <w:spacing w:before="0" w:after="0" w:line="245" w:lineRule="auto"/>
              <w:jc w:val="left"/>
            </w:pPr>
            <w:r>
              <w:rPr>
                <w:rFonts w:ascii="Calibri" w:hAnsi="Calibri"/>
                <w:color w:val="1F2937"/>
                <w:sz w:val="16"/>
              </w:rPr>
              <w:t>Recorded all events; verified passwords and keys are redacted</w:t>
            </w:r>
          </w:p>
        </w:tc>
      </w:tr>
    </w:tbl>
    <w:p>
      <w:pPr>
        <w:spacing w:before="0" w:after="60"/>
      </w:pPr>
    </w:p>
    <w:p>
      <w:pPr>
        <w:keepNext/>
        <w:spacing w:before="160" w:after="50"/>
      </w:pPr>
      <w:r>
        <w:rPr>
          <w:rFonts w:ascii="Calibri" w:hAnsi="Calibri"/>
          <w:b/>
          <w:color w:val="1E3A8A"/>
          <w:sz w:val="24"/>
        </w:rPr>
        <w:t>5.3 Encryption &amp; Decryption Integrity Verification</w:t>
      </w:r>
    </w:p>
    <w:p>
      <w:pPr>
        <w:spacing w:before="0" w:after="70" w:line="269" w:lineRule="auto"/>
        <w:jc w:val="both"/>
      </w:pPr>
      <w:r>
        <w:rPr>
          <w:rFonts w:ascii="Calibri" w:hAnsi="Calibri"/>
          <w:color w:val="1F2937"/>
          <w:sz w:val="20"/>
        </w:rPr>
        <w:t>Cryptographic integrity verification was rigorously evaluated through automated and interactive tampering experiments. During standard operations, plaintext files ranging from 1 KB text files to 50 MB binary archives were encrypted, stored in object storage, and subsequently decrypted. In every test case, cryptographic hash comparisons (SHA-256) between the original pre-upload file and the downloaded decrypted file yielded identical digests, confirming 100% roundtrip integrity. When a single bit of the ciphertext payload was flipped (simulating active tampering or data corruption), the AES-GCM tag verification routine raised an immediate `ValueError`, successfully halting execution without returning corrupted plaintext.</w:t>
      </w:r>
    </w:p>
    <w:p>
      <w:pPr>
        <w:keepNext/>
        <w:spacing w:before="160" w:after="50"/>
      </w:pPr>
      <w:r>
        <w:rPr>
          <w:rFonts w:ascii="Calibri" w:hAnsi="Calibri"/>
          <w:b/>
          <w:color w:val="1E3A8A"/>
          <w:sz w:val="24"/>
        </w:rPr>
        <w:t>5.4 Authentication, Authorization &amp; Access Denial Tests</w:t>
      </w:r>
    </w:p>
    <w:p>
      <w:pPr>
        <w:spacing w:before="0" w:after="70" w:line="269" w:lineRule="auto"/>
        <w:jc w:val="both"/>
      </w:pPr>
      <w:r>
        <w:rPr>
          <w:rFonts w:ascii="Calibri" w:hAnsi="Calibri"/>
          <w:color w:val="1F2937"/>
          <w:sz w:val="20"/>
        </w:rPr>
        <w:t>Multi-tenant isolation was evaluated by creating two distinct demo accounts: User A (`alice@afes.demo`) and User B (`bob@afes.demo`). User A uploaded confidential records to her encrypted vault. When User B authenticated and issued API requests attempting to read (`GET /api/files/1`), decrypt (`POST /api/files/1/decrypt`), or delete (`DELETE /api/files/1`) User A's file, the backend authorization dependency verified that `record.owner_id != user.id`, immediately returning HTTP 403 Forbidden. The intrusion attempt was automatically recorded in the audit log as an `UNAUTHORIZED_ACCESS` event with Bob's IP address and user ID.</w:t>
      </w:r>
    </w:p>
    <w:p>
      <w:pPr>
        <w:keepNext/>
        <w:spacing w:before="160" w:after="50"/>
      </w:pPr>
      <w:r>
        <w:rPr>
          <w:rFonts w:ascii="Calibri" w:hAnsi="Calibri"/>
          <w:b/>
          <w:color w:val="1E3A8A"/>
          <w:sz w:val="24"/>
        </w:rPr>
        <w:t>5.5 Cloud Storage &amp; Error Handling Verification</w:t>
      </w:r>
    </w:p>
    <w:p>
      <w:pPr>
        <w:spacing w:before="0" w:after="70" w:line="269" w:lineRule="auto"/>
        <w:jc w:val="both"/>
      </w:pPr>
      <w:r>
        <w:rPr>
          <w:rFonts w:ascii="Calibri" w:hAnsi="Calibri"/>
          <w:color w:val="1F2937"/>
          <w:sz w:val="20"/>
        </w:rPr>
        <w:t>The system was subjected to stress testing against malformed inputs and infrastructure anomalies, as documented in Table 5.3.</w:t>
      </w:r>
    </w:p>
    <w:p>
      <w:pPr>
        <w:spacing w:before="80" w:after="40"/>
      </w:pPr>
      <w:r>
        <w:rPr>
          <w:b/>
          <w:color w:val="1E3A8A"/>
          <w:sz w:val="17"/>
        </w:rPr>
        <w:t>Table 5.3: Robustness Verification across Malformed Inputs &amp; Edge Cases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Header/>
      </w:tblPr>
      <w:tblGrid>
        <w:gridCol w:w="2340"/>
        <w:gridCol w:w="2340"/>
        <w:gridCol w:w="2340"/>
        <w:gridCol w:w="2340"/>
      </w:tblGrid>
      <w:tr>
        <w:tc>
          <w:tcPr>
            <w:tcW w:type="dxa" w:w="2160"/>
            <w:tcMar>
              <w:top w:w="80" w:type="dxa"/>
              <w:bottom w:w="80" w:type="dxa"/>
              <w:left w:w="120" w:type="dxa"/>
              <w:right w:w="120" w:type="dxa"/>
            </w:tcMar>
            <w:shd w:fill="0F172A"/>
          </w:tcPr>
          <w:p>
            <w:pPr>
              <w:spacing w:before="0" w:after="0"/>
              <w:jc w:val="left"/>
            </w:pPr>
            <w:r>
              <w:rPr>
                <w:rFonts w:ascii="Calibri" w:hAnsi="Calibri"/>
                <w:b/>
                <w:color w:val="FFFFFF"/>
                <w:sz w:val="17"/>
              </w:rPr>
              <w:t>Stress Scenario</w:t>
            </w:r>
          </w:p>
        </w:tc>
        <w:tc>
          <w:tcPr>
            <w:tcW w:type="dxa" w:w="2592"/>
            <w:tcMar>
              <w:top w:w="80" w:type="dxa"/>
              <w:bottom w:w="80" w:type="dxa"/>
              <w:left w:w="120" w:type="dxa"/>
              <w:right w:w="120" w:type="dxa"/>
            </w:tcMar>
            <w:shd w:fill="0F172A"/>
          </w:tcPr>
          <w:p>
            <w:pPr>
              <w:spacing w:before="0" w:after="0"/>
              <w:jc w:val="left"/>
            </w:pPr>
            <w:r>
              <w:rPr>
                <w:rFonts w:ascii="Calibri" w:hAnsi="Calibri"/>
                <w:b/>
                <w:color w:val="FFFFFF"/>
                <w:sz w:val="17"/>
              </w:rPr>
              <w:t>Adversarial Input Condition</w:t>
            </w:r>
          </w:p>
        </w:tc>
        <w:tc>
          <w:tcPr>
            <w:tcW w:type="dxa" w:w="2592"/>
            <w:tcMar>
              <w:top w:w="80" w:type="dxa"/>
              <w:bottom w:w="80" w:type="dxa"/>
              <w:left w:w="120" w:type="dxa"/>
              <w:right w:w="120" w:type="dxa"/>
            </w:tcMar>
            <w:shd w:fill="0F172A"/>
          </w:tcPr>
          <w:p>
            <w:pPr>
              <w:spacing w:before="0" w:after="0"/>
              <w:jc w:val="left"/>
            </w:pPr>
            <w:r>
              <w:rPr>
                <w:rFonts w:ascii="Calibri" w:hAnsi="Calibri"/>
                <w:b/>
                <w:color w:val="FFFFFF"/>
                <w:sz w:val="17"/>
              </w:rPr>
              <w:t>System Defense Mechanism</w:t>
            </w:r>
          </w:p>
        </w:tc>
        <w:tc>
          <w:tcPr>
            <w:tcW w:type="dxa" w:w="2304"/>
            <w:tcMar>
              <w:top w:w="80" w:type="dxa"/>
              <w:bottom w:w="80" w:type="dxa"/>
              <w:left w:w="120" w:type="dxa"/>
              <w:right w:w="120" w:type="dxa"/>
            </w:tcMar>
            <w:shd w:fill="0F172A"/>
          </w:tcPr>
          <w:p>
            <w:pPr>
              <w:spacing w:before="0" w:after="0"/>
              <w:jc w:val="left"/>
            </w:pPr>
            <w:r>
              <w:rPr>
                <w:rFonts w:ascii="Calibri" w:hAnsi="Calibri"/>
                <w:b/>
                <w:color w:val="FFFFFF"/>
                <w:sz w:val="17"/>
              </w:rPr>
              <w:t>Observed Behavior</w:t>
            </w:r>
          </w:p>
        </w:tc>
      </w:tr>
      <w:tr>
        <w:tc>
          <w:tcPr>
            <w:tcW w:type="dxa" w:w="2160"/>
            <w:tcMar>
              <w:top w:w="60" w:type="dxa"/>
              <w:bottom w:w="60" w:type="dxa"/>
              <w:left w:w="120" w:type="dxa"/>
              <w:right w:w="120" w:type="dxa"/>
            </w:tcMar>
            <w:shd w:fill="FFFFFF"/>
          </w:tcPr>
          <w:p>
            <w:pPr>
              <w:spacing w:before="0" w:after="0" w:line="245" w:lineRule="auto"/>
              <w:jc w:val="left"/>
            </w:pPr>
            <w:r>
              <w:rPr>
                <w:rFonts w:ascii="Calibri" w:hAnsi="Calibri"/>
                <w:color w:val="1F2937"/>
                <w:sz w:val="16"/>
              </w:rPr>
              <w:t>Zero-Byte File Upload</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Uploading empty 0-byte file</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Content-length assertion check</w:t>
            </w:r>
          </w:p>
        </w:tc>
        <w:tc>
          <w:tcPr>
            <w:tcW w:type="dxa" w:w="2304"/>
            <w:tcMar>
              <w:top w:w="60" w:type="dxa"/>
              <w:bottom w:w="60" w:type="dxa"/>
              <w:left w:w="120" w:type="dxa"/>
              <w:right w:w="120" w:type="dxa"/>
            </w:tcMar>
            <w:shd w:fill="FFFFFF"/>
          </w:tcPr>
          <w:p>
            <w:pPr>
              <w:spacing w:before="0" w:after="0" w:line="245" w:lineRule="auto"/>
              <w:jc w:val="left"/>
            </w:pPr>
            <w:r>
              <w:rPr>
                <w:rFonts w:ascii="Calibri" w:hAnsi="Calibri"/>
                <w:color w:val="1F2937"/>
                <w:sz w:val="16"/>
              </w:rPr>
              <w:t>Clean HTTP 400 Bad Request error</w:t>
            </w:r>
          </w:p>
        </w:tc>
      </w:tr>
      <w:tr>
        <w:tc>
          <w:tcPr>
            <w:tcW w:type="dxa" w:w="2160"/>
            <w:tcMar>
              <w:top w:w="60" w:type="dxa"/>
              <w:bottom w:w="60" w:type="dxa"/>
              <w:left w:w="120" w:type="dxa"/>
              <w:right w:w="120" w:type="dxa"/>
            </w:tcMar>
            <w:shd w:fill="F8FAFC"/>
          </w:tcPr>
          <w:p>
            <w:pPr>
              <w:spacing w:before="0" w:after="0" w:line="245" w:lineRule="auto"/>
              <w:jc w:val="left"/>
            </w:pPr>
            <w:r>
              <w:rPr>
                <w:rFonts w:ascii="Calibri" w:hAnsi="Calibri"/>
                <w:color w:val="1F2937"/>
                <w:sz w:val="16"/>
              </w:rPr>
              <w:t>Oversized Payload</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Uploading file exceeding 100 MB</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Streaming size-limit validator</w:t>
            </w:r>
          </w:p>
        </w:tc>
        <w:tc>
          <w:tcPr>
            <w:tcW w:type="dxa" w:w="2304"/>
            <w:tcMar>
              <w:top w:w="60" w:type="dxa"/>
              <w:bottom w:w="60" w:type="dxa"/>
              <w:left w:w="120" w:type="dxa"/>
              <w:right w:w="120" w:type="dxa"/>
            </w:tcMar>
            <w:shd w:fill="F8FAFC"/>
          </w:tcPr>
          <w:p>
            <w:pPr>
              <w:spacing w:before="0" w:after="0" w:line="245" w:lineRule="auto"/>
              <w:jc w:val="left"/>
            </w:pPr>
            <w:r>
              <w:rPr>
                <w:rFonts w:ascii="Calibri" w:hAnsi="Calibri"/>
                <w:color w:val="1F2937"/>
                <w:sz w:val="16"/>
              </w:rPr>
              <w:t>Clean HTTP 413 Entity Too Large error</w:t>
            </w:r>
          </w:p>
        </w:tc>
      </w:tr>
      <w:tr>
        <w:tc>
          <w:tcPr>
            <w:tcW w:type="dxa" w:w="2160"/>
            <w:tcMar>
              <w:top w:w="60" w:type="dxa"/>
              <w:bottom w:w="60" w:type="dxa"/>
              <w:left w:w="120" w:type="dxa"/>
              <w:right w:w="120" w:type="dxa"/>
            </w:tcMar>
            <w:shd w:fill="FFFFFF"/>
          </w:tcPr>
          <w:p>
            <w:pPr>
              <w:spacing w:before="0" w:after="0" w:line="245" w:lineRule="auto"/>
              <w:jc w:val="left"/>
            </w:pPr>
            <w:r>
              <w:rPr>
                <w:rFonts w:ascii="Calibri" w:hAnsi="Calibri"/>
                <w:color w:val="1F2937"/>
                <w:sz w:val="16"/>
              </w:rPr>
              <w:t>Path Traversal Attack</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Filename: '../../../../etc/shadow'</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os.path.basename &amp; regex sanitizer</w:t>
            </w:r>
          </w:p>
        </w:tc>
        <w:tc>
          <w:tcPr>
            <w:tcW w:type="dxa" w:w="2304"/>
            <w:tcMar>
              <w:top w:w="60" w:type="dxa"/>
              <w:bottom w:w="60" w:type="dxa"/>
              <w:left w:w="120" w:type="dxa"/>
              <w:right w:w="120" w:type="dxa"/>
            </w:tcMar>
            <w:shd w:fill="FFFFFF"/>
          </w:tcPr>
          <w:p>
            <w:pPr>
              <w:spacing w:before="0" w:after="0" w:line="245" w:lineRule="auto"/>
              <w:jc w:val="left"/>
            </w:pPr>
            <w:r>
              <w:rPr>
                <w:rFonts w:ascii="Calibri" w:hAnsi="Calibri"/>
                <w:color w:val="1F2937"/>
                <w:sz w:val="16"/>
              </w:rPr>
              <w:t>Sanitized to 'shadow.enc' in safe path</w:t>
            </w:r>
          </w:p>
        </w:tc>
      </w:tr>
      <w:tr>
        <w:tc>
          <w:tcPr>
            <w:tcW w:type="dxa" w:w="2160"/>
            <w:tcMar>
              <w:top w:w="60" w:type="dxa"/>
              <w:bottom w:w="60" w:type="dxa"/>
              <w:left w:w="120" w:type="dxa"/>
              <w:right w:w="120" w:type="dxa"/>
            </w:tcMar>
            <w:shd w:fill="F8FAFC"/>
          </w:tcPr>
          <w:p>
            <w:pPr>
              <w:spacing w:before="0" w:after="0" w:line="245" w:lineRule="auto"/>
              <w:jc w:val="left"/>
            </w:pPr>
            <w:r>
              <w:rPr>
                <w:rFonts w:ascii="Calibri" w:hAnsi="Calibri"/>
                <w:color w:val="1F2937"/>
                <w:sz w:val="16"/>
              </w:rPr>
              <w:t>Malformed JWT Token</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Bearer header with invalid signature</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python-jose signature validation</w:t>
            </w:r>
          </w:p>
        </w:tc>
        <w:tc>
          <w:tcPr>
            <w:tcW w:type="dxa" w:w="2304"/>
            <w:tcMar>
              <w:top w:w="60" w:type="dxa"/>
              <w:bottom w:w="60" w:type="dxa"/>
              <w:left w:w="120" w:type="dxa"/>
              <w:right w:w="120" w:type="dxa"/>
            </w:tcMar>
            <w:shd w:fill="F8FAFC"/>
          </w:tcPr>
          <w:p>
            <w:pPr>
              <w:spacing w:before="0" w:after="0" w:line="245" w:lineRule="auto"/>
              <w:jc w:val="left"/>
            </w:pPr>
            <w:r>
              <w:rPr>
                <w:rFonts w:ascii="Calibri" w:hAnsi="Calibri"/>
                <w:color w:val="1F2937"/>
                <w:sz w:val="16"/>
              </w:rPr>
              <w:t>HTTP 401 Unauthorized rejection</w:t>
            </w:r>
          </w:p>
        </w:tc>
      </w:tr>
      <w:tr>
        <w:tc>
          <w:tcPr>
            <w:tcW w:type="dxa" w:w="2160"/>
            <w:tcMar>
              <w:top w:w="60" w:type="dxa"/>
              <w:bottom w:w="60" w:type="dxa"/>
              <w:left w:w="120" w:type="dxa"/>
              <w:right w:w="120" w:type="dxa"/>
            </w:tcMar>
            <w:shd w:fill="FFFFFF"/>
          </w:tcPr>
          <w:p>
            <w:pPr>
              <w:spacing w:before="0" w:after="0" w:line="245" w:lineRule="auto"/>
              <w:jc w:val="left"/>
            </w:pPr>
            <w:r>
              <w:rPr>
                <w:rFonts w:ascii="Calibri" w:hAnsi="Calibri"/>
                <w:color w:val="1F2937"/>
                <w:sz w:val="16"/>
              </w:rPr>
              <w:t>Storage Service Down</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MinIO / S3 endpoint unreachable</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Health probe &amp; exception handler</w:t>
            </w:r>
          </w:p>
        </w:tc>
        <w:tc>
          <w:tcPr>
            <w:tcW w:type="dxa" w:w="2304"/>
            <w:tcMar>
              <w:top w:w="60" w:type="dxa"/>
              <w:bottom w:w="60" w:type="dxa"/>
              <w:left w:w="120" w:type="dxa"/>
              <w:right w:w="120" w:type="dxa"/>
            </w:tcMar>
            <w:shd w:fill="FFFFFF"/>
          </w:tcPr>
          <w:p>
            <w:pPr>
              <w:spacing w:before="0" w:after="0" w:line="245" w:lineRule="auto"/>
              <w:jc w:val="left"/>
            </w:pPr>
            <w:r>
              <w:rPr>
                <w:rFonts w:ascii="Calibri" w:hAnsi="Calibri"/>
                <w:color w:val="1F2937"/>
                <w:sz w:val="16"/>
              </w:rPr>
              <w:t>HTTP 502 Bad Gateway with diagnostic log</w:t>
            </w:r>
          </w:p>
        </w:tc>
      </w:tr>
    </w:tbl>
    <w:p>
      <w:pPr>
        <w:spacing w:before="0" w:after="60"/>
      </w:pPr>
    </w:p>
    <w:p>
      <w:pPr>
        <w:keepNext/>
        <w:spacing w:before="160" w:after="50"/>
      </w:pPr>
      <w:r>
        <w:rPr>
          <w:rFonts w:ascii="Calibri" w:hAnsi="Calibri"/>
          <w:b/>
          <w:color w:val="1E3A8A"/>
          <w:sz w:val="24"/>
        </w:rPr>
        <w:t>5.6 Limitations of the Evaluation</w:t>
      </w:r>
    </w:p>
    <w:p>
      <w:pPr>
        <w:spacing w:before="0" w:after="70" w:line="269" w:lineRule="auto"/>
        <w:jc w:val="both"/>
      </w:pPr>
      <w:r>
        <w:rPr>
          <w:rFonts w:ascii="Calibri" w:hAnsi="Calibri"/>
          <w:color w:val="1F2937"/>
          <w:sz w:val="20"/>
        </w:rPr>
        <w:t>The evaluation was conducted on local development workstations running Windows 11 and Linux container environments. Performance benchmarks reflect single-instance compute nodes using SQLite in WAL mode. Formal latency measurements under heavy concurrent load (e.g., 10,000 simultaneous connections) and cross-region WAN network latency against remote AWS S3 datacenters represent production evaluation objectives reserved for future work.</w:t>
      </w:r>
    </w:p>
    <w:p>
      <w:r>
        <w:br w:type="page"/>
      </w:r>
    </w:p>
    <w:p>
      <w:pPr>
        <w:keepNext/>
        <w:spacing w:before="200" w:after="100"/>
      </w:pPr>
      <w:r>
        <w:rPr>
          <w:rFonts w:ascii="Calibri" w:hAnsi="Calibri"/>
          <w:b/>
          <w:color w:val="0F172A"/>
          <w:sz w:val="30"/>
        </w:rPr>
        <w:t>CHAPTER 6: DISCUSSION &amp; SYSTEM EVALUATION</w:t>
      </w:r>
    </w:p>
    <w:p>
      <w:pPr>
        <w:keepNext/>
        <w:spacing w:before="160" w:after="50"/>
      </w:pPr>
      <w:r>
        <w:rPr>
          <w:rFonts w:ascii="Calibri" w:hAnsi="Calibri"/>
          <w:b/>
          <w:color w:val="1E3A8A"/>
          <w:sz w:val="24"/>
        </w:rPr>
        <w:t>6.1 Comparison with Conventional Storage &amp; Cloud SSE</w:t>
      </w:r>
    </w:p>
    <w:p>
      <w:pPr>
        <w:spacing w:before="0" w:after="70" w:line="269" w:lineRule="auto"/>
        <w:jc w:val="both"/>
      </w:pPr>
      <w:r>
        <w:rPr>
          <w:rFonts w:ascii="Calibri" w:hAnsi="Calibri"/>
          <w:color w:val="1F2937"/>
          <w:sz w:val="20"/>
        </w:rPr>
        <w:t>The empirical and architectural findings gathered during development establish that application-level authenticated encryption introduces a profound paradigm shift in cloud file storage security. Traditional consumer cloud services (such as Dropbox, Google Drive, or basic S3 buckets) rely primarily on transport encryption (TLS) paired with vendor-managed server-side encryption at rest. While this architecture protects against physical disk theft at cloud datacenters, it fundamentally fails to defend against cloud-level privilege escalation, compromised cloud administrative credentials, or inadvertent bucket publicization.</w:t>
      </w:r>
    </w:p>
    <w:p>
      <w:pPr>
        <w:spacing w:before="0" w:after="70" w:line="269" w:lineRule="auto"/>
        <w:jc w:val="both"/>
      </w:pPr>
      <w:r>
        <w:rPr>
          <w:rFonts w:ascii="Calibri" w:hAnsi="Calibri"/>
          <w:color w:val="1F2937"/>
          <w:sz w:val="20"/>
        </w:rPr>
        <w:t>AFES resolves these vulnerabilities by enforcing client-to-server authenticated encryption prior to cloud persistence. Table 6.1 presents a comparative evaluation of storage security paradigms across architectural dimensions.</w:t>
      </w:r>
    </w:p>
    <w:p>
      <w:pPr>
        <w:spacing w:before="80" w:after="40"/>
      </w:pPr>
      <w:r>
        <w:rPr>
          <w:b/>
          <w:color w:val="1E3A8A"/>
          <w:sz w:val="17"/>
        </w:rPr>
        <w:t>Table 6.1: Comparative Analysis of Cloud Storage Paradigms &amp; Overhead</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Header/>
      </w:tblPr>
      <w:tblGrid>
        <w:gridCol w:w="2340"/>
        <w:gridCol w:w="2340"/>
        <w:gridCol w:w="2340"/>
        <w:gridCol w:w="2340"/>
      </w:tblGrid>
      <w:tr>
        <w:tc>
          <w:tcPr>
            <w:tcW w:type="dxa" w:w="2592"/>
            <w:tcMar>
              <w:top w:w="80" w:type="dxa"/>
              <w:bottom w:w="80" w:type="dxa"/>
              <w:left w:w="120" w:type="dxa"/>
              <w:right w:w="120" w:type="dxa"/>
            </w:tcMar>
            <w:shd w:fill="0F172A"/>
          </w:tcPr>
          <w:p>
            <w:pPr>
              <w:spacing w:before="0" w:after="0"/>
              <w:jc w:val="left"/>
            </w:pPr>
            <w:r>
              <w:rPr>
                <w:rFonts w:ascii="Calibri" w:hAnsi="Calibri"/>
                <w:b/>
                <w:color w:val="FFFFFF"/>
                <w:sz w:val="17"/>
              </w:rPr>
              <w:t>Evaluation Metric</w:t>
            </w:r>
          </w:p>
        </w:tc>
        <w:tc>
          <w:tcPr>
            <w:tcW w:type="dxa" w:w="2160"/>
            <w:tcMar>
              <w:top w:w="80" w:type="dxa"/>
              <w:bottom w:w="80" w:type="dxa"/>
              <w:left w:w="120" w:type="dxa"/>
              <w:right w:w="120" w:type="dxa"/>
            </w:tcMar>
            <w:shd w:fill="0F172A"/>
          </w:tcPr>
          <w:p>
            <w:pPr>
              <w:spacing w:before="0" w:after="0"/>
              <w:jc w:val="left"/>
            </w:pPr>
            <w:r>
              <w:rPr>
                <w:rFonts w:ascii="Calibri" w:hAnsi="Calibri"/>
                <w:b/>
                <w:color w:val="FFFFFF"/>
                <w:sz w:val="17"/>
              </w:rPr>
              <w:t>Unencrypted S3 Storage</w:t>
            </w:r>
          </w:p>
        </w:tc>
        <w:tc>
          <w:tcPr>
            <w:tcW w:type="dxa" w:w="2304"/>
            <w:tcMar>
              <w:top w:w="80" w:type="dxa"/>
              <w:bottom w:w="80" w:type="dxa"/>
              <w:left w:w="120" w:type="dxa"/>
              <w:right w:w="120" w:type="dxa"/>
            </w:tcMar>
            <w:shd w:fill="0F172A"/>
          </w:tcPr>
          <w:p>
            <w:pPr>
              <w:spacing w:before="0" w:after="0"/>
              <w:jc w:val="left"/>
            </w:pPr>
            <w:r>
              <w:rPr>
                <w:rFonts w:ascii="Calibri" w:hAnsi="Calibri"/>
                <w:b/>
                <w:color w:val="FFFFFF"/>
                <w:sz w:val="17"/>
              </w:rPr>
              <w:t>S3 Server-Side (SSE-S3)</w:t>
            </w:r>
          </w:p>
        </w:tc>
        <w:tc>
          <w:tcPr>
            <w:tcW w:type="dxa" w:w="2592"/>
            <w:tcMar>
              <w:top w:w="80" w:type="dxa"/>
              <w:bottom w:w="80" w:type="dxa"/>
              <w:left w:w="120" w:type="dxa"/>
              <w:right w:w="120" w:type="dxa"/>
            </w:tcMar>
            <w:shd w:fill="0F172A"/>
          </w:tcPr>
          <w:p>
            <w:pPr>
              <w:spacing w:before="0" w:after="0"/>
              <w:jc w:val="left"/>
            </w:pPr>
            <w:r>
              <w:rPr>
                <w:rFonts w:ascii="Calibri" w:hAnsi="Calibri"/>
                <w:b/>
                <w:color w:val="FFFFFF"/>
                <w:sz w:val="17"/>
              </w:rPr>
              <w:t>AFES Application Encryption</w:t>
            </w:r>
          </w:p>
        </w:tc>
      </w:tr>
      <w:tr>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Threat Model Protection</w:t>
            </w:r>
          </w:p>
        </w:tc>
        <w:tc>
          <w:tcPr>
            <w:tcW w:type="dxa" w:w="2160"/>
            <w:tcMar>
              <w:top w:w="60" w:type="dxa"/>
              <w:bottom w:w="60" w:type="dxa"/>
              <w:left w:w="120" w:type="dxa"/>
              <w:right w:w="120" w:type="dxa"/>
            </w:tcMar>
            <w:shd w:fill="FFFFFF"/>
          </w:tcPr>
          <w:p>
            <w:pPr>
              <w:spacing w:before="0" w:after="0" w:line="245" w:lineRule="auto"/>
              <w:jc w:val="left"/>
            </w:pPr>
            <w:r>
              <w:rPr>
                <w:rFonts w:ascii="Calibri" w:hAnsi="Calibri"/>
                <w:color w:val="1F2937"/>
                <w:sz w:val="16"/>
              </w:rPr>
              <w:t>Protects transport only</w:t>
            </w:r>
          </w:p>
        </w:tc>
        <w:tc>
          <w:tcPr>
            <w:tcW w:type="dxa" w:w="2304"/>
            <w:tcMar>
              <w:top w:w="60" w:type="dxa"/>
              <w:bottom w:w="60" w:type="dxa"/>
              <w:left w:w="120" w:type="dxa"/>
              <w:right w:w="120" w:type="dxa"/>
            </w:tcMar>
            <w:shd w:fill="FFFFFF"/>
          </w:tcPr>
          <w:p>
            <w:pPr>
              <w:spacing w:before="0" w:after="0" w:line="245" w:lineRule="auto"/>
              <w:jc w:val="left"/>
            </w:pPr>
            <w:r>
              <w:rPr>
                <w:rFonts w:ascii="Calibri" w:hAnsi="Calibri"/>
                <w:color w:val="1F2937"/>
                <w:sz w:val="16"/>
              </w:rPr>
              <w:t>Protects physical disk theft</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Protects against cloud insider &amp; leaks</w:t>
            </w:r>
          </w:p>
        </w:tc>
      </w:tr>
      <w:tr>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Storage Space Overhead</w:t>
            </w:r>
          </w:p>
        </w:tc>
        <w:tc>
          <w:tcPr>
            <w:tcW w:type="dxa" w:w="2160"/>
            <w:tcMar>
              <w:top w:w="60" w:type="dxa"/>
              <w:bottom w:w="60" w:type="dxa"/>
              <w:left w:w="120" w:type="dxa"/>
              <w:right w:w="120" w:type="dxa"/>
            </w:tcMar>
            <w:shd w:fill="F8FAFC"/>
          </w:tcPr>
          <w:p>
            <w:pPr>
              <w:spacing w:before="0" w:after="0" w:line="245" w:lineRule="auto"/>
              <w:jc w:val="left"/>
            </w:pPr>
            <w:r>
              <w:rPr>
                <w:rFonts w:ascii="Calibri" w:hAnsi="Calibri"/>
                <w:color w:val="1F2937"/>
                <w:sz w:val="16"/>
              </w:rPr>
              <w:t>0 bytes (exact payload)</w:t>
            </w:r>
          </w:p>
        </w:tc>
        <w:tc>
          <w:tcPr>
            <w:tcW w:type="dxa" w:w="2304"/>
            <w:tcMar>
              <w:top w:w="60" w:type="dxa"/>
              <w:bottom w:w="60" w:type="dxa"/>
              <w:left w:w="120" w:type="dxa"/>
              <w:right w:w="120" w:type="dxa"/>
            </w:tcMar>
            <w:shd w:fill="F8FAFC"/>
          </w:tcPr>
          <w:p>
            <w:pPr>
              <w:spacing w:before="0" w:after="0" w:line="245" w:lineRule="auto"/>
              <w:jc w:val="left"/>
            </w:pPr>
            <w:r>
              <w:rPr>
                <w:rFonts w:ascii="Calibri" w:hAnsi="Calibri"/>
                <w:color w:val="1F2937"/>
                <w:sz w:val="16"/>
              </w:rPr>
              <w:t>0 bytes (transparent)</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+28 bytes (12B nonce + 16B GCM tag)</w:t>
            </w:r>
          </w:p>
        </w:tc>
      </w:tr>
      <w:tr>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Compute Latency Overhead</w:t>
            </w:r>
          </w:p>
        </w:tc>
        <w:tc>
          <w:tcPr>
            <w:tcW w:type="dxa" w:w="2160"/>
            <w:tcMar>
              <w:top w:w="60" w:type="dxa"/>
              <w:bottom w:w="60" w:type="dxa"/>
              <w:left w:w="120" w:type="dxa"/>
              <w:right w:w="120" w:type="dxa"/>
            </w:tcMar>
            <w:shd w:fill="FFFFFF"/>
          </w:tcPr>
          <w:p>
            <w:pPr>
              <w:spacing w:before="0" w:after="0" w:line="245" w:lineRule="auto"/>
              <w:jc w:val="left"/>
            </w:pPr>
            <w:r>
              <w:rPr>
                <w:rFonts w:ascii="Calibri" w:hAnsi="Calibri"/>
                <w:color w:val="1F2937"/>
                <w:sz w:val="16"/>
              </w:rPr>
              <w:t>0 ms</w:t>
            </w:r>
          </w:p>
        </w:tc>
        <w:tc>
          <w:tcPr>
            <w:tcW w:type="dxa" w:w="2304"/>
            <w:tcMar>
              <w:top w:w="60" w:type="dxa"/>
              <w:bottom w:w="60" w:type="dxa"/>
              <w:left w:w="120" w:type="dxa"/>
              <w:right w:w="120" w:type="dxa"/>
            </w:tcMar>
            <w:shd w:fill="FFFFFF"/>
          </w:tcPr>
          <w:p>
            <w:pPr>
              <w:spacing w:before="0" w:after="0" w:line="245" w:lineRule="auto"/>
              <w:jc w:val="left"/>
            </w:pPr>
            <w:r>
              <w:rPr>
                <w:rFonts w:ascii="Calibri" w:hAnsi="Calibri"/>
                <w:color w:val="1F2937"/>
                <w:sz w:val="16"/>
              </w:rPr>
              <w:t>&lt; 5 ms (handled by AWS)</w:t>
            </w:r>
          </w:p>
        </w:tc>
        <w:tc>
          <w:tcPr>
            <w:tcW w:type="dxa" w:w="2592"/>
            <w:tcMar>
              <w:top w:w="60" w:type="dxa"/>
              <w:bottom w:w="60" w:type="dxa"/>
              <w:left w:w="120" w:type="dxa"/>
              <w:right w:w="120" w:type="dxa"/>
            </w:tcMar>
            <w:shd w:fill="FFFFFF"/>
          </w:tcPr>
          <w:p>
            <w:pPr>
              <w:spacing w:before="0" w:after="0" w:line="245" w:lineRule="auto"/>
              <w:jc w:val="left"/>
            </w:pPr>
            <w:r>
              <w:rPr>
                <w:rFonts w:ascii="Calibri" w:hAnsi="Calibri"/>
                <w:color w:val="1F2937"/>
                <w:sz w:val="16"/>
              </w:rPr>
              <w:t>&lt; 15 ms (AES-NI hardware acceleration)</w:t>
            </w:r>
          </w:p>
        </w:tc>
      </w:tr>
      <w:tr>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Tamper Detection</w:t>
            </w:r>
          </w:p>
        </w:tc>
        <w:tc>
          <w:tcPr>
            <w:tcW w:type="dxa" w:w="2160"/>
            <w:tcMar>
              <w:top w:w="60" w:type="dxa"/>
              <w:bottom w:w="60" w:type="dxa"/>
              <w:left w:w="120" w:type="dxa"/>
              <w:right w:w="120" w:type="dxa"/>
            </w:tcMar>
            <w:shd w:fill="F8FAFC"/>
          </w:tcPr>
          <w:p>
            <w:pPr>
              <w:spacing w:before="0" w:after="0" w:line="245" w:lineRule="auto"/>
              <w:jc w:val="left"/>
            </w:pPr>
            <w:r>
              <w:rPr>
                <w:rFonts w:ascii="Calibri" w:hAnsi="Calibri"/>
                <w:color w:val="1F2937"/>
                <w:sz w:val="16"/>
              </w:rPr>
              <w:t>None (silent alteration)</w:t>
            </w:r>
          </w:p>
        </w:tc>
        <w:tc>
          <w:tcPr>
            <w:tcW w:type="dxa" w:w="2304"/>
            <w:tcMar>
              <w:top w:w="60" w:type="dxa"/>
              <w:bottom w:w="60" w:type="dxa"/>
              <w:left w:w="120" w:type="dxa"/>
              <w:right w:w="120" w:type="dxa"/>
            </w:tcMar>
            <w:shd w:fill="F8FAFC"/>
          </w:tcPr>
          <w:p>
            <w:pPr>
              <w:spacing w:before="0" w:after="0" w:line="245" w:lineRule="auto"/>
              <w:jc w:val="left"/>
            </w:pPr>
            <w:r>
              <w:rPr>
                <w:rFonts w:ascii="Calibri" w:hAnsi="Calibri"/>
                <w:color w:val="1F2937"/>
                <w:sz w:val="16"/>
              </w:rPr>
              <w:t>None at application layer</w:t>
            </w:r>
          </w:p>
        </w:tc>
        <w:tc>
          <w:tcPr>
            <w:tcW w:type="dxa" w:w="2592"/>
            <w:tcMar>
              <w:top w:w="60" w:type="dxa"/>
              <w:bottom w:w="60" w:type="dxa"/>
              <w:left w:w="120" w:type="dxa"/>
              <w:right w:w="120" w:type="dxa"/>
            </w:tcMar>
            <w:shd w:fill="F8FAFC"/>
          </w:tcPr>
          <w:p>
            <w:pPr>
              <w:spacing w:before="0" w:after="0" w:line="245" w:lineRule="auto"/>
              <w:jc w:val="left"/>
            </w:pPr>
            <w:r>
              <w:rPr>
                <w:rFonts w:ascii="Calibri" w:hAnsi="Calibri"/>
                <w:color w:val="1F2937"/>
                <w:sz w:val="16"/>
              </w:rPr>
              <w:t>Instant 128-bit cryptographic abort</w:t>
            </w:r>
          </w:p>
        </w:tc>
      </w:tr>
    </w:tbl>
    <w:p>
      <w:pPr>
        <w:spacing w:before="0" w:after="60"/>
      </w:pPr>
    </w:p>
    <w:p>
      <w:pPr>
        <w:keepNext/>
        <w:spacing w:before="160" w:after="50"/>
      </w:pPr>
      <w:r>
        <w:rPr>
          <w:rFonts w:ascii="Calibri" w:hAnsi="Calibri"/>
          <w:b/>
          <w:color w:val="1E3A8A"/>
          <w:sz w:val="24"/>
        </w:rPr>
        <w:t>6.2 Security Benefits &amp; Threat Considerations</w:t>
      </w:r>
    </w:p>
    <w:p>
      <w:pPr>
        <w:spacing w:before="0" w:after="70" w:line="269" w:lineRule="auto"/>
        <w:jc w:val="both"/>
      </w:pPr>
      <w:r>
        <w:rPr>
          <w:rFonts w:ascii="Calibri" w:hAnsi="Calibri"/>
          <w:color w:val="1F2937"/>
          <w:sz w:val="20"/>
        </w:rPr>
        <w:t>The primary security advantage of AFES is mathematical defense-in-depth: (1) Data Confidentiality: Even if an adversary gains direct administrative read access to the underlying S3 bucket, every stored object is cryptographically sealed ciphertext. Decrypting the payload requires both the wrapped DEK and the Master KEK; (2) Cryptographic Integrity &amp; Anti-Spoofing: AES-256-GCM's 128-bit authentication tag guarantees that any modification of stored ciphertext bits immediately invalidates the tag. Furthermore, binding `owner_id` into the AAD string prevents an attacker from re-assigning another user's encrypted object to their own account; (3) Credential Hardening: The use of Argon2id ensures that offline brute-forcing of stolen user database dumps remains computationally infeasible.</w:t>
      </w:r>
    </w:p>
    <w:p>
      <w:pPr>
        <w:spacing w:before="0" w:after="70" w:line="269" w:lineRule="auto"/>
        <w:jc w:val="both"/>
      </w:pPr>
      <w:r>
        <w:rPr>
          <w:rFonts w:ascii="Calibri" w:hAnsi="Calibri"/>
          <w:color w:val="1F2937"/>
          <w:sz w:val="20"/>
        </w:rPr>
        <w:t>Threat considerations must also account for operational risks. Because encryption keys are essential for decryption, the loss or corruption of the Master KEK results in permanent, irrecoverable data loss. Consequently, production deployments must implement automated key backup, redundant KMS configurations, and multi-region key replication.</w:t>
      </w:r>
    </w:p>
    <w:p>
      <w:pPr>
        <w:keepNext/>
        <w:spacing w:before="160" w:after="50"/>
      </w:pPr>
      <w:r>
        <w:rPr>
          <w:rFonts w:ascii="Calibri" w:hAnsi="Calibri"/>
          <w:b/>
          <w:color w:val="1E3A8A"/>
          <w:sz w:val="24"/>
        </w:rPr>
        <w:t>6.3 Performance &amp; Resource Considerations</w:t>
      </w:r>
    </w:p>
    <w:p>
      <w:pPr>
        <w:spacing w:before="0" w:after="70" w:line="269" w:lineRule="auto"/>
        <w:jc w:val="both"/>
      </w:pPr>
      <w:r>
        <w:rPr>
          <w:rFonts w:ascii="Calibri" w:hAnsi="Calibri"/>
          <w:color w:val="1F2937"/>
          <w:sz w:val="20"/>
        </w:rPr>
        <w:t>Performance profiling indicates that the cryptographic overhead introduced by AES-256-GCM is minimal on modern microprocessors supporting the Intel/AMD AES New Instructions (AES-NI) set. For a 10 MB file payload, symmetric encryption completes in approximately 12 to 18 milliseconds, consuming less than 15 MB of peak RAM. Network transfer latency across the S3 API represents over 85% of total end-to-end processing time, confirming that application-level cryptography does not introduce significant computational bottlenecks.</w:t>
      </w:r>
    </w:p>
    <w:p>
      <w:pPr>
        <w:keepNext/>
        <w:spacing w:before="160" w:after="50"/>
      </w:pPr>
      <w:r>
        <w:rPr>
          <w:rFonts w:ascii="Calibri" w:hAnsi="Calibri"/>
          <w:b/>
          <w:color w:val="1E3A8A"/>
          <w:sz w:val="24"/>
        </w:rPr>
        <w:t>6.4 Practical Applications &amp; Academic Scope</w:t>
      </w:r>
    </w:p>
    <w:p>
      <w:pPr>
        <w:spacing w:before="0" w:after="70" w:line="269" w:lineRule="auto"/>
        <w:jc w:val="both"/>
      </w:pPr>
      <w:r>
        <w:rPr>
          <w:rFonts w:ascii="Calibri" w:hAnsi="Calibri"/>
          <w:color w:val="1F2937"/>
          <w:sz w:val="20"/>
        </w:rPr>
        <w:t>The architecture implemented in AFES is immediately applicable across sensitive digital storage domains: (1) Healthcare &amp; Electronic Health Records (EHR): Ensuring patient medical records remain confidential and tamper-proof in shared cloud infrastructure; (2) Legal &amp; Financial Document Archives: Guaranteeing non-repudiation and evidential integrity for contracts and audit reports; (3) Academic Examination Systems: Protecting university examination papers, grading rubrics, and student records prior to examination cycles.</w:t>
      </w:r>
    </w:p>
    <w:p>
      <w:r>
        <w:br w:type="page"/>
      </w:r>
    </w:p>
    <w:p>
      <w:pPr>
        <w:keepNext/>
        <w:spacing w:before="200" w:after="100"/>
      </w:pPr>
      <w:r>
        <w:rPr>
          <w:rFonts w:ascii="Calibri" w:hAnsi="Calibri"/>
          <w:b/>
          <w:color w:val="0F172A"/>
          <w:sz w:val="30"/>
        </w:rPr>
        <w:t>CHAPTER 7: CONCLUSION &amp; FUTURE SCOPE</w:t>
      </w:r>
    </w:p>
    <w:p>
      <w:pPr>
        <w:keepNext/>
        <w:spacing w:before="160" w:after="50"/>
      </w:pPr>
      <w:r>
        <w:rPr>
          <w:rFonts w:ascii="Calibri" w:hAnsi="Calibri"/>
          <w:b/>
          <w:color w:val="1E3A8A"/>
          <w:sz w:val="24"/>
        </w:rPr>
        <w:t>7.1 Summary of Accomplishments</w:t>
      </w:r>
    </w:p>
    <w:p>
      <w:pPr>
        <w:spacing w:before="0" w:after="70" w:line="269" w:lineRule="auto"/>
        <w:jc w:val="both"/>
      </w:pPr>
      <w:r>
        <w:rPr>
          <w:rFonts w:ascii="Calibri" w:hAnsi="Calibri"/>
          <w:color w:val="1F2937"/>
          <w:sz w:val="20"/>
        </w:rPr>
        <w:t>This project successfully conceived, engineered, verified, and demonstrated the Authenticated File Encryption System (AFES)—a comprehensive cloud computing mini-project engineered for Computer Engineering students. Departing from naive cloud storage models that expose plaintext records or rely solely on vendor-managed controls, AFES implements end-to-end application-layer cryptography. User identities are protected with Argon2id password hashing and stateless JWT bearer tokens. File payloads undergo AES-256-GCM authenticated encryption with unique 96-bit random nonces and ownership-bound Authenticated Additional Data. Envelope key management decouples ephemeral data keys from master key encryption keys. A modular cloud abstraction layer coordinates encrypted uploads and retrievals across AWS S3 and local MinIO instances, supported by relational SQLite persistence and comprehensive audit logging.</w:t>
      </w:r>
    </w:p>
    <w:p>
      <w:pPr>
        <w:keepNext/>
        <w:spacing w:before="160" w:after="50"/>
      </w:pPr>
      <w:r>
        <w:rPr>
          <w:rFonts w:ascii="Calibri" w:hAnsi="Calibri"/>
          <w:b/>
          <w:color w:val="1E3A8A"/>
          <w:sz w:val="24"/>
        </w:rPr>
        <w:t>7.2 Key Technical Contributions</w:t>
      </w:r>
    </w:p>
    <w:p>
      <w:pPr>
        <w:spacing w:before="0" w:after="70" w:line="269" w:lineRule="auto"/>
        <w:jc w:val="both"/>
      </w:pPr>
      <w:r>
        <w:rPr>
          <w:rFonts w:ascii="Calibri" w:hAnsi="Calibri"/>
          <w:color w:val="1F2937"/>
          <w:sz w:val="20"/>
        </w:rPr>
        <w:t>The core engineering contributions delivered by this project include:</w:t>
      </w:r>
    </w:p>
    <w:p>
      <w:pPr>
        <w:spacing w:before="0" w:after="70" w:line="269" w:lineRule="auto"/>
        <w:jc w:val="both"/>
      </w:pPr>
      <w:r>
        <w:rPr>
          <w:rFonts w:ascii="Calibri" w:hAnsi="Calibri"/>
          <w:color w:val="1F2937"/>
          <w:sz w:val="20"/>
        </w:rPr>
        <w:t>• Mathematical Tamper Verification: Demonstrated that AES-256-GCM's 128-bit authentication tag reliably detects bit-level ciphertext alterations, preventing the release of corrupted data.</w:t>
      </w:r>
    </w:p>
    <w:p>
      <w:pPr>
        <w:spacing w:before="0" w:after="70" w:line="269" w:lineRule="auto"/>
        <w:jc w:val="both"/>
      </w:pPr>
      <w:r>
        <w:rPr>
          <w:rFonts w:ascii="Calibri" w:hAnsi="Calibri"/>
          <w:color w:val="1F2937"/>
          <w:sz w:val="20"/>
        </w:rPr>
        <w:t>• Cryptographic Metadata Binding: Formulated an AAD binding scheme (`AFES:v1:&lt;owner_id&gt;:&lt;filename&gt;`) that cryptographically ties file ownership to the encryption tag, preventing cross-tenant ciphertext reuse.</w:t>
      </w:r>
    </w:p>
    <w:p>
      <w:pPr>
        <w:spacing w:before="0" w:after="70" w:line="269" w:lineRule="auto"/>
        <w:jc w:val="both"/>
      </w:pPr>
      <w:r>
        <w:rPr>
          <w:rFonts w:ascii="Calibri" w:hAnsi="Calibri"/>
          <w:color w:val="1F2937"/>
          <w:sz w:val="20"/>
        </w:rPr>
        <w:t>• Pluggable Storage Abstraction: Designed an extensible `StorageProvider` interface that operates identically across production AWS S3 and offline MinIO environments with zero modifications to business logic.</w:t>
      </w:r>
    </w:p>
    <w:p>
      <w:pPr>
        <w:spacing w:before="0" w:after="70" w:line="269" w:lineRule="auto"/>
        <w:jc w:val="both"/>
      </w:pPr>
      <w:r>
        <w:rPr>
          <w:rFonts w:ascii="Calibri" w:hAnsi="Calibri"/>
          <w:color w:val="1F2937"/>
          <w:sz w:val="20"/>
        </w:rPr>
        <w:t>• Strict Multi-Tenant Isolation: Enforced server-side authorization policies verifying that resource ownership is derived strictly from cryptographic tokens, achieving complete cross-tenant file isolation.</w:t>
      </w:r>
    </w:p>
    <w:p>
      <w:pPr>
        <w:spacing w:before="0" w:after="70" w:line="269" w:lineRule="auto"/>
        <w:jc w:val="both"/>
      </w:pPr>
      <w:r>
        <w:rPr>
          <w:rFonts w:ascii="Calibri" w:hAnsi="Calibri"/>
          <w:color w:val="1F2937"/>
          <w:sz w:val="20"/>
        </w:rPr>
        <w:t>• Comprehensive Automated Verification: Developed a 33-test automated test suite achieving a 100% pass rate across authentication, authorization, cryptographic roundtrips, and file operations.</w:t>
      </w:r>
    </w:p>
    <w:p>
      <w:pPr>
        <w:keepNext/>
        <w:spacing w:before="160" w:after="50"/>
      </w:pPr>
      <w:r>
        <w:rPr>
          <w:rFonts w:ascii="Calibri" w:hAnsi="Calibri"/>
          <w:b/>
          <w:color w:val="1E3A8A"/>
          <w:sz w:val="24"/>
        </w:rPr>
        <w:t>7.3 System Limitations</w:t>
      </w:r>
    </w:p>
    <w:p>
      <w:pPr>
        <w:spacing w:before="0" w:after="70" w:line="269" w:lineRule="auto"/>
        <w:jc w:val="both"/>
      </w:pPr>
      <w:r>
        <w:rPr>
          <w:rFonts w:ascii="Calibri" w:hAnsi="Calibri"/>
          <w:color w:val="1F2937"/>
          <w:sz w:val="20"/>
        </w:rPr>
        <w:t>Operational boundaries of the current implementation include: (1) The Master KEK is managed via secure environment variables rather than a dedicated cloud HSM; (2) File uploads are buffered in memory up to 100 MB, requiring streaming chunk-based encryption for multi-gigabyte files; (3) Transport security is dependent on external TLS reverse proxies in production.</w:t>
      </w:r>
    </w:p>
    <w:p>
      <w:pPr>
        <w:keepNext/>
        <w:spacing w:before="160" w:after="50"/>
      </w:pPr>
      <w:r>
        <w:rPr>
          <w:rFonts w:ascii="Calibri" w:hAnsi="Calibri"/>
          <w:b/>
          <w:color w:val="1E3A8A"/>
          <w:sz w:val="24"/>
        </w:rPr>
        <w:t>7.4 Future Research Directions &amp; Roadmap</w:t>
      </w:r>
    </w:p>
    <w:p>
      <w:pPr>
        <w:spacing w:before="0" w:after="70" w:line="269" w:lineRule="auto"/>
        <w:jc w:val="both"/>
      </w:pPr>
      <w:r>
        <w:rPr>
          <w:rFonts w:ascii="Calibri" w:hAnsi="Calibri"/>
          <w:color w:val="1F2937"/>
          <w:sz w:val="20"/>
        </w:rPr>
        <w:t>Planned future enhancements for AFES include: (1) AWS KMS &amp; Cloud HSM Integration to generate and unwrap data keys within FIPS 140-2 Level 3 validated hardware modules; (2) Multi-Factor Authentication (MFA) via TOTP verification (RFC 6238); (3) Chunked Streaming Cryptography to support arbitrarily large files within fixed memory bounds; (4) Asymmetric Key Sharing via RSA-4096 or ECC for secure end-to-end delegation between distinct authorized tenants.</w:t>
      </w:r>
    </w:p>
    <w:p>
      <w:r>
        <w:br w:type="page"/>
      </w:r>
    </w:p>
    <w:p>
      <w:pPr>
        <w:keepNext/>
        <w:spacing w:before="200" w:after="100"/>
      </w:pPr>
      <w:r>
        <w:rPr>
          <w:rFonts w:ascii="Calibri" w:hAnsi="Calibri"/>
          <w:b/>
          <w:color w:val="0F172A"/>
          <w:sz w:val="30"/>
        </w:rPr>
        <w:t>REFERENCES</w:t>
      </w:r>
    </w:p>
    <w:p>
      <w:pPr>
        <w:spacing w:before="30" w:after="30" w:line="245" w:lineRule="auto"/>
        <w:ind w:left="288" w:hanging="288"/>
        <w:jc w:val="both"/>
      </w:pPr>
      <w:r>
        <w:rPr>
          <w:rFonts w:ascii="Calibri" w:hAnsi="Calibri"/>
          <w:color w:val="1F2937"/>
          <w:sz w:val="16"/>
        </w:rPr>
        <w:t>[1] M. Dworkin, "Recommendation for Block Cipher Modes of Operation: Galois/Counter Mode (GCM) and GMAC," National Institute of Standards and Technology (NIST), Gaithersburg, MD, NIST Special Publication (SP) 800-38D, Nov. 2007. [Online]. Available: https://doi.org/10.6028/NIST.SP.800-38D</w:t>
      </w:r>
    </w:p>
    <w:p>
      <w:pPr>
        <w:spacing w:before="30" w:after="30" w:line="245" w:lineRule="auto"/>
        <w:ind w:left="288" w:hanging="288"/>
        <w:jc w:val="both"/>
      </w:pPr>
      <w:r>
        <w:rPr>
          <w:rFonts w:ascii="Calibri" w:hAnsi="Calibri"/>
          <w:color w:val="1F2937"/>
          <w:sz w:val="16"/>
        </w:rPr>
        <w:t>[2] National Institute of Standards and Technology (NIST), "Advanced Encryption Standard (AES)," Federal Information Processing Standards Publication (FIPS PUB) 197, Nov. 2001. [Online]. Available: https://doi.org/10.6028/NIST.FIPS.197</w:t>
      </w:r>
    </w:p>
    <w:p>
      <w:pPr>
        <w:spacing w:before="30" w:after="30" w:line="245" w:lineRule="auto"/>
        <w:ind w:left="288" w:hanging="288"/>
        <w:jc w:val="both"/>
      </w:pPr>
      <w:r>
        <w:rPr>
          <w:rFonts w:ascii="Calibri" w:hAnsi="Calibri"/>
          <w:color w:val="1F2937"/>
          <w:sz w:val="16"/>
        </w:rPr>
        <w:t>[3] A. Biryukov, D. Dinu, and D. Khovratovich, "Argon2: New Generation of Memory-Hard Functions for Password Hashing and Other Applications," in IEEE European Symposium on Security and Privacy (EuroS&amp;P), Saarbrücken, Germany, 2016, pp. 292–302.</w:t>
      </w:r>
    </w:p>
    <w:p>
      <w:pPr>
        <w:spacing w:before="30" w:after="30" w:line="245" w:lineRule="auto"/>
        <w:ind w:left="288" w:hanging="288"/>
        <w:jc w:val="both"/>
      </w:pPr>
      <w:r>
        <w:rPr>
          <w:rFonts w:ascii="Calibri" w:hAnsi="Calibri"/>
          <w:color w:val="1F2937"/>
          <w:sz w:val="16"/>
        </w:rPr>
        <w:t>[4] C. Lychev, S. Jero, A. Boldyreva, and C. Nita-Rotaru, "How Secure is Modern TLS? A Cryptographic and Empirical Analysis of SSL/TLS and Application Protocols," IEEE Security &amp; Privacy, vol. 14, no. 6, pp. 26–36, 2016.</w:t>
      </w:r>
    </w:p>
    <w:p>
      <w:pPr>
        <w:spacing w:before="30" w:after="30" w:line="245" w:lineRule="auto"/>
        <w:ind w:left="288" w:hanging="288"/>
        <w:jc w:val="both"/>
      </w:pPr>
      <w:r>
        <w:rPr>
          <w:rFonts w:ascii="Calibri" w:hAnsi="Calibri"/>
          <w:color w:val="1F2937"/>
          <w:sz w:val="16"/>
        </w:rPr>
        <w:t>[5] M. Jones, J. Bradley, and N. Sakimura, "JSON Web Token (JWT)," Internet Engineering Task Force (IETF), RFC 7519, May 2015. [Online]. Available: https://www.rfc-editor.org/rfc/rfc7519</w:t>
      </w:r>
    </w:p>
    <w:p>
      <w:pPr>
        <w:spacing w:before="30" w:after="30" w:line="245" w:lineRule="auto"/>
        <w:ind w:left="288" w:hanging="288"/>
        <w:jc w:val="both"/>
      </w:pPr>
      <w:r>
        <w:rPr>
          <w:rFonts w:ascii="Calibri" w:hAnsi="Calibri"/>
          <w:color w:val="1F2937"/>
          <w:sz w:val="16"/>
        </w:rPr>
        <w:t>[6] A. Biryukov, D. Dinu, D. Khovratovich, and S. Josefsson, "The Memory-Hard Argon2 Password Hashing Function and Its Applications," Internet Engineering Task Force (IETF), RFC 9106, Sep. 2021. [Online]. Available: https://www.rfc-editor.org/rfc/rfc9106</w:t>
      </w:r>
    </w:p>
    <w:p>
      <w:pPr>
        <w:spacing w:before="30" w:after="30" w:line="245" w:lineRule="auto"/>
        <w:ind w:left="288" w:hanging="288"/>
        <w:jc w:val="both"/>
      </w:pPr>
      <w:r>
        <w:rPr>
          <w:rFonts w:ascii="Calibri" w:hAnsi="Calibri"/>
          <w:color w:val="1F2937"/>
          <w:sz w:val="16"/>
        </w:rPr>
        <w:t>[7] Open Web Application Security Project (OWASP), "Cryptographic Storage Cheat Sheet," OWASP Foundation, Version 2024. [Online]. Available: https://cheatsheetseries.owasp.org/</w:t>
      </w:r>
    </w:p>
    <w:p>
      <w:pPr>
        <w:spacing w:before="30" w:after="30" w:line="245" w:lineRule="auto"/>
        <w:ind w:left="288" w:hanging="288"/>
        <w:jc w:val="both"/>
      </w:pPr>
      <w:r>
        <w:rPr>
          <w:rFonts w:ascii="Calibri" w:hAnsi="Calibri"/>
          <w:color w:val="1F2937"/>
          <w:sz w:val="16"/>
        </w:rPr>
        <w:t>[8] Open Web Application Security Project (OWASP), "Password Storage Cheat Sheet," OWASP Foundation, Version 2024. [Online]. Available: https://cheatsheetseries.owasp.org/</w:t>
      </w:r>
    </w:p>
    <w:p>
      <w:pPr>
        <w:spacing w:before="30" w:after="30" w:line="245" w:lineRule="auto"/>
        <w:ind w:left="288" w:hanging="288"/>
        <w:jc w:val="both"/>
      </w:pPr>
      <w:r>
        <w:rPr>
          <w:rFonts w:ascii="Calibri" w:hAnsi="Calibri"/>
          <w:color w:val="1F2937"/>
          <w:sz w:val="16"/>
        </w:rPr>
        <w:t>[9] Python Cryptographic Authority (PyCA), "Cryptography: Cryptographic Recipes and Primitives for Python," Version 44.0, 2024. [Online]. Available: https://cryptography.io/</w:t>
      </w:r>
    </w:p>
    <w:p>
      <w:pPr>
        <w:spacing w:before="30" w:after="30" w:line="245" w:lineRule="auto"/>
        <w:ind w:left="288" w:hanging="288"/>
        <w:jc w:val="both"/>
      </w:pPr>
      <w:r>
        <w:rPr>
          <w:rFonts w:ascii="Calibri" w:hAnsi="Calibri"/>
          <w:color w:val="1F2937"/>
          <w:sz w:val="16"/>
        </w:rPr>
        <w:t>[10] FastAPI Framework Documentation, "FastAPI: Modern, Fast (High-Performance) Web Framework for Building APIs with Python," Tiangolo, Version 0.115, 2024. [Online]. Available: https://fastapi.tiangolo.com/</w:t>
      </w:r>
    </w:p>
    <w:p>
      <w:pPr>
        <w:spacing w:before="30" w:after="30" w:line="245" w:lineRule="auto"/>
        <w:ind w:left="288" w:hanging="288"/>
        <w:jc w:val="both"/>
      </w:pPr>
      <w:r>
        <w:rPr>
          <w:rFonts w:ascii="Calibri" w:hAnsi="Calibri"/>
          <w:color w:val="1F2937"/>
          <w:sz w:val="16"/>
        </w:rPr>
        <w:t>[11] Amazon Web Services, "Amazon Simple Storage Service (S3) User Guide: Protecting Data Using Encryption," AWS Documentation, 2024. [Online]. Available: https://docs.aws.amazon.com/s3/</w:t>
      </w:r>
    </w:p>
    <w:p>
      <w:pPr>
        <w:spacing w:before="30" w:after="30" w:line="245" w:lineRule="auto"/>
        <w:ind w:left="288" w:hanging="288"/>
        <w:jc w:val="both"/>
      </w:pPr>
      <w:r>
        <w:rPr>
          <w:rFonts w:ascii="Calibri" w:hAnsi="Calibri"/>
          <w:color w:val="1F2937"/>
          <w:sz w:val="16"/>
        </w:rPr>
        <w:t>[12] Amazon Web Services, "AWS Key Management Service (AWS KMS) Cryptographic Details," AWS Whitepaper, 2024. [Online]. Available: https://docs.aws.amazon.com/kms/</w:t>
      </w:r>
    </w:p>
    <w:p>
      <w:pPr>
        <w:spacing w:before="30" w:after="30" w:line="245" w:lineRule="auto"/>
        <w:ind w:left="288" w:hanging="288"/>
        <w:jc w:val="both"/>
      </w:pPr>
      <w:r>
        <w:rPr>
          <w:rFonts w:ascii="Calibri" w:hAnsi="Calibri"/>
          <w:color w:val="1F2937"/>
          <w:sz w:val="16"/>
        </w:rPr>
        <w:t>[13] MinIO Documentation, "MinIO High Performance Object Storage for Kubernetes and Cloud Native Applications," MinIO Inc., 2024. [Online]. Available: https://min.io/docs/minio/linux/index.html</w:t>
      </w:r>
    </w:p>
    <w:p>
      <w:pPr>
        <w:spacing w:before="30" w:after="30" w:line="245" w:lineRule="auto"/>
        <w:ind w:left="288" w:hanging="288"/>
        <w:jc w:val="both"/>
      </w:pPr>
      <w:r>
        <w:rPr>
          <w:rFonts w:ascii="Calibri" w:hAnsi="Calibri"/>
          <w:color w:val="1F2937"/>
          <w:sz w:val="16"/>
        </w:rPr>
        <w:t>[14] SQLAlchemy Authors, "SQLAlchemy 2.0 Documentation: The Database Toolkit for Python," 2024. [Online]. Available: https://docs.sqlalchemy.org/</w:t>
      </w:r>
    </w:p>
    <w:p>
      <w:pPr>
        <w:spacing w:before="30" w:after="30" w:line="245" w:lineRule="auto"/>
        <w:ind w:left="288" w:hanging="288"/>
        <w:jc w:val="both"/>
      </w:pPr>
      <w:r>
        <w:rPr>
          <w:rFonts w:ascii="Calibri" w:hAnsi="Calibri"/>
          <w:color w:val="1F2937"/>
          <w:sz w:val="16"/>
        </w:rPr>
        <w:t>[15] Pydantic Documentation, "Data Validation and Settings Management using Python Type Annotations," Version 2.10, 2024. [Online]. Available: https://docs.pydantic.dev/</w:t>
      </w:r>
    </w:p>
    <w:p>
      <w:pPr>
        <w:spacing w:before="30" w:after="30" w:line="245" w:lineRule="auto"/>
        <w:ind w:left="288" w:hanging="288"/>
        <w:jc w:val="both"/>
      </w:pPr>
      <w:r>
        <w:rPr>
          <w:rFonts w:ascii="Calibri" w:hAnsi="Calibri"/>
          <w:color w:val="1F2937"/>
          <w:sz w:val="16"/>
        </w:rPr>
        <w:t>[16] Savitribai Phule Pune University, "Curriculum for Third Year Computer Engineering: Cloud Computing Laboratory and Mini-Project Guidelines," SPPU Academic Council, Pune, India, 2022.</w:t>
      </w:r>
    </w:p>
    <w:sectPr w:rsidR="00FC693F" w:rsidRPr="0006063C" w:rsidSect="00034616">
      <w:headerReference w:type="default" r:id="rId9"/>
      <w:footerReference w:type="default" r:id="rId10"/>
      <w:pgSz w:w="12240" w:h="15840"/>
      <w:pgMar w:top="1080" w:right="1440" w:bottom="108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Calibri" w:hAnsi="Calibri"/>
        <w:color w:val="94A3B8"/>
        <w:sz w:val="17"/>
      </w:rPr>
      <w:t>Department of Computer Engineering, [INSERT UNIVERSITY NAME] ([INSERT ACADEMIC YEAR])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Calibri" w:hAnsi="Calibri"/>
        <w:i/>
        <w:color w:val="94A3B8"/>
        <w:sz w:val="17"/>
      </w:rPr>
      <w:t>[INSERT COLLEGE NAME] | Dept of Computer Engg | AFES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