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69803267"/>
        <w:docPartObj>
          <w:docPartGallery w:val="Cover Pages"/>
          <w:docPartUnique/>
        </w:docPartObj>
      </w:sdtPr>
      <w:sdtEndPr>
        <w:rPr>
          <w:b/>
          <w:bCs/>
          <w:sz w:val="22"/>
          <w:u w:val="single"/>
        </w:rPr>
      </w:sdtEndPr>
      <w:sdtContent>
        <w:p w14:paraId="31376C82" w14:textId="5B9F5823" w:rsidR="000D61AE" w:rsidRDefault="000D61AE">
          <w:pPr>
            <w:pStyle w:val="NoSpacing"/>
            <w:rPr>
              <w:sz w:val="2"/>
            </w:rPr>
          </w:pPr>
        </w:p>
        <w:p w14:paraId="364A8740" w14:textId="77777777" w:rsidR="000D61AE" w:rsidRDefault="000D61AE">
          <w:r>
            <w:rPr>
              <w:noProof/>
            </w:rPr>
            <mc:AlternateContent>
              <mc:Choice Requires="wps">
                <w:drawing>
                  <wp:anchor distT="0" distB="0" distL="114300" distR="114300" simplePos="0" relativeHeight="251676672" behindDoc="0" locked="0" layoutInCell="1" allowOverlap="1" wp14:anchorId="64337BCA" wp14:editId="2620D08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22A35" w:themeColor="text2"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222A35" w:themeColor="text2" w:themeShade="80"/>
                                    <w:sz w:val="68"/>
                                    <w:szCs w:val="68"/>
                                  </w:rPr>
                                </w:sdtEndPr>
                                <w:sdtContent>
                                  <w:p w14:paraId="33B78B80" w14:textId="5B30074F" w:rsidR="000D61AE" w:rsidRPr="000C7F8B" w:rsidRDefault="000D61AE">
                                    <w:pPr>
                                      <w:pStyle w:val="NoSpacing"/>
                                      <w:rPr>
                                        <w:rFonts w:asciiTheme="majorHAnsi" w:eastAsiaTheme="majorEastAsia" w:hAnsiTheme="majorHAnsi" w:cstheme="majorBidi"/>
                                        <w:b/>
                                        <w:bCs/>
                                        <w:caps/>
                                        <w:color w:val="222A35" w:themeColor="text2" w:themeShade="80"/>
                                        <w:sz w:val="68"/>
                                        <w:szCs w:val="68"/>
                                      </w:rPr>
                                    </w:pPr>
                                    <w:r w:rsidRPr="000C7F8B">
                                      <w:rPr>
                                        <w:rFonts w:asciiTheme="majorHAnsi" w:eastAsiaTheme="majorEastAsia" w:hAnsiTheme="majorHAnsi" w:cstheme="majorBidi"/>
                                        <w:b/>
                                        <w:bCs/>
                                        <w:caps/>
                                        <w:color w:val="222A35" w:themeColor="text2" w:themeShade="80"/>
                                        <w:sz w:val="64"/>
                                        <w:szCs w:val="64"/>
                                      </w:rPr>
                                      <w:t>Student_Id: 20549904</w:t>
                                    </w:r>
                                  </w:p>
                                </w:sdtContent>
                              </w:sdt>
                              <w:p w14:paraId="0BA84911" w14:textId="77777777" w:rsidR="000D61AE" w:rsidRDefault="000D61AE" w:rsidP="000D61AE">
                                <w:pPr>
                                  <w:shd w:val="clear" w:color="auto" w:fill="FDFBF9"/>
                                  <w:spacing w:after="100" w:afterAutospacing="1" w:line="240" w:lineRule="auto"/>
                                  <w:outlineLvl w:val="0"/>
                                  <w:rPr>
                                    <w:rFonts w:ascii="Arial" w:eastAsia="Times New Roman" w:hAnsi="Arial" w:cs="Arial"/>
                                    <w:b/>
                                    <w:bCs/>
                                    <w:color w:val="10263B"/>
                                    <w:kern w:val="36"/>
                                    <w:sz w:val="48"/>
                                    <w:szCs w:val="48"/>
                                    <w:lang w:eastAsia="en-IN"/>
                                    <w14:ligatures w14:val="none"/>
                                  </w:rPr>
                                </w:pPr>
                                <w:r w:rsidRPr="000D61AE">
                                  <w:rPr>
                                    <w:rFonts w:ascii="Arial" w:eastAsia="Times New Roman" w:hAnsi="Arial" w:cs="Arial"/>
                                    <w:b/>
                                    <w:bCs/>
                                    <w:color w:val="10263B"/>
                                    <w:kern w:val="36"/>
                                    <w:sz w:val="48"/>
                                    <w:szCs w:val="48"/>
                                    <w:lang w:eastAsia="en-IN"/>
                                    <w14:ligatures w14:val="none"/>
                                  </w:rPr>
                                  <w:t>BUSI4370 UNUK</w:t>
                                </w:r>
                              </w:p>
                              <w:p w14:paraId="7D74AFBB" w14:textId="77777777" w:rsidR="00D22241" w:rsidRPr="000C7F8B" w:rsidRDefault="00D22241" w:rsidP="00D22241">
                                <w:pPr>
                                  <w:pStyle w:val="Heading1"/>
                                  <w:shd w:val="clear" w:color="auto" w:fill="FDFBF9"/>
                                  <w:spacing w:before="0" w:beforeAutospacing="0"/>
                                  <w:rPr>
                                    <w:rFonts w:ascii="Arial" w:hAnsi="Arial" w:cs="Arial"/>
                                    <w:color w:val="10263B"/>
                                    <w:sz w:val="32"/>
                                    <w:szCs w:val="32"/>
                                  </w:rPr>
                                </w:pPr>
                                <w:r w:rsidRPr="000C7F8B">
                                  <w:rPr>
                                    <w:rFonts w:ascii="Arial" w:hAnsi="Arial" w:cs="Arial"/>
                                    <w:color w:val="10263B"/>
                                    <w:sz w:val="32"/>
                                    <w:szCs w:val="32"/>
                                  </w:rPr>
                                  <w:t>Analytics Specializations and Applications</w:t>
                                </w:r>
                              </w:p>
                              <w:p w14:paraId="000FAD9B" w14:textId="2BEC6234" w:rsidR="000D61AE" w:rsidRPr="000C7F8B" w:rsidRDefault="000D61AE" w:rsidP="000D61AE">
                                <w:pPr>
                                  <w:shd w:val="clear" w:color="auto" w:fill="FDFBF9"/>
                                  <w:spacing w:after="100" w:afterAutospacing="1" w:line="240" w:lineRule="auto"/>
                                  <w:outlineLvl w:val="0"/>
                                  <w:rPr>
                                    <w:rFonts w:ascii="Arial" w:eastAsia="Times New Roman" w:hAnsi="Arial" w:cs="Arial"/>
                                    <w:b/>
                                    <w:bCs/>
                                    <w:color w:val="10263B"/>
                                    <w:kern w:val="36"/>
                                    <w:sz w:val="24"/>
                                    <w:szCs w:val="24"/>
                                    <w:lang w:eastAsia="en-IN"/>
                                    <w14:ligatures w14:val="none"/>
                                  </w:rPr>
                                </w:pPr>
                                <w:r w:rsidRPr="000C7F8B">
                                  <w:rPr>
                                    <w:b/>
                                    <w:bCs/>
                                    <w:sz w:val="24"/>
                                    <w:szCs w:val="24"/>
                                  </w:rPr>
                                  <w:t>Customer Analytics Coursework</w:t>
                                </w:r>
                              </w:p>
                              <w:p w14:paraId="3D47CD0C" w14:textId="51EBB378" w:rsidR="000D61AE" w:rsidRDefault="000D61AE">
                                <w:r>
                                  <w:rPr>
                                    <w:rFonts w:ascii="Arial" w:hAnsi="Arial" w:cs="Arial"/>
                                    <w:b/>
                                    <w:bCs/>
                                    <w:color w:val="10263B"/>
                                    <w:sz w:val="23"/>
                                    <w:szCs w:val="23"/>
                                    <w:shd w:val="clear" w:color="auto" w:fill="FDFBF9"/>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4337BCA" id="_x0000_t202" coordsize="21600,21600" o:spt="202" path="m,l,21600r21600,l21600,xe">
                    <v:stroke joinstyle="miter"/>
                    <v:path gradientshapeok="t" o:connecttype="rect"/>
                  </v:shapetype>
                  <v:shape id="Text Box 15"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color w:val="222A35" w:themeColor="text2"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222A35" w:themeColor="text2" w:themeShade="80"/>
                              <w:sz w:val="68"/>
                              <w:szCs w:val="68"/>
                            </w:rPr>
                          </w:sdtEndPr>
                          <w:sdtContent>
                            <w:p w14:paraId="33B78B80" w14:textId="5B30074F" w:rsidR="000D61AE" w:rsidRPr="000C7F8B" w:rsidRDefault="000D61AE">
                              <w:pPr>
                                <w:pStyle w:val="NoSpacing"/>
                                <w:rPr>
                                  <w:rFonts w:asciiTheme="majorHAnsi" w:eastAsiaTheme="majorEastAsia" w:hAnsiTheme="majorHAnsi" w:cstheme="majorBidi"/>
                                  <w:b/>
                                  <w:bCs/>
                                  <w:caps/>
                                  <w:color w:val="222A35" w:themeColor="text2" w:themeShade="80"/>
                                  <w:sz w:val="68"/>
                                  <w:szCs w:val="68"/>
                                </w:rPr>
                              </w:pPr>
                              <w:r w:rsidRPr="000C7F8B">
                                <w:rPr>
                                  <w:rFonts w:asciiTheme="majorHAnsi" w:eastAsiaTheme="majorEastAsia" w:hAnsiTheme="majorHAnsi" w:cstheme="majorBidi"/>
                                  <w:b/>
                                  <w:bCs/>
                                  <w:caps/>
                                  <w:color w:val="222A35" w:themeColor="text2" w:themeShade="80"/>
                                  <w:sz w:val="64"/>
                                  <w:szCs w:val="64"/>
                                </w:rPr>
                                <w:t>Student_Id: 20549904</w:t>
                              </w:r>
                            </w:p>
                          </w:sdtContent>
                        </w:sdt>
                        <w:p w14:paraId="0BA84911" w14:textId="77777777" w:rsidR="000D61AE" w:rsidRDefault="000D61AE" w:rsidP="000D61AE">
                          <w:pPr>
                            <w:shd w:val="clear" w:color="auto" w:fill="FDFBF9"/>
                            <w:spacing w:after="100" w:afterAutospacing="1" w:line="240" w:lineRule="auto"/>
                            <w:outlineLvl w:val="0"/>
                            <w:rPr>
                              <w:rFonts w:ascii="Arial" w:eastAsia="Times New Roman" w:hAnsi="Arial" w:cs="Arial"/>
                              <w:b/>
                              <w:bCs/>
                              <w:color w:val="10263B"/>
                              <w:kern w:val="36"/>
                              <w:sz w:val="48"/>
                              <w:szCs w:val="48"/>
                              <w:lang w:eastAsia="en-IN"/>
                              <w14:ligatures w14:val="none"/>
                            </w:rPr>
                          </w:pPr>
                          <w:r w:rsidRPr="000D61AE">
                            <w:rPr>
                              <w:rFonts w:ascii="Arial" w:eastAsia="Times New Roman" w:hAnsi="Arial" w:cs="Arial"/>
                              <w:b/>
                              <w:bCs/>
                              <w:color w:val="10263B"/>
                              <w:kern w:val="36"/>
                              <w:sz w:val="48"/>
                              <w:szCs w:val="48"/>
                              <w:lang w:eastAsia="en-IN"/>
                              <w14:ligatures w14:val="none"/>
                            </w:rPr>
                            <w:t>BUSI4370 UNUK</w:t>
                          </w:r>
                        </w:p>
                        <w:p w14:paraId="7D74AFBB" w14:textId="77777777" w:rsidR="00D22241" w:rsidRPr="000C7F8B" w:rsidRDefault="00D22241" w:rsidP="00D22241">
                          <w:pPr>
                            <w:pStyle w:val="Heading1"/>
                            <w:shd w:val="clear" w:color="auto" w:fill="FDFBF9"/>
                            <w:spacing w:before="0" w:beforeAutospacing="0"/>
                            <w:rPr>
                              <w:rFonts w:ascii="Arial" w:hAnsi="Arial" w:cs="Arial"/>
                              <w:color w:val="10263B"/>
                              <w:sz w:val="32"/>
                              <w:szCs w:val="32"/>
                            </w:rPr>
                          </w:pPr>
                          <w:r w:rsidRPr="000C7F8B">
                            <w:rPr>
                              <w:rFonts w:ascii="Arial" w:hAnsi="Arial" w:cs="Arial"/>
                              <w:color w:val="10263B"/>
                              <w:sz w:val="32"/>
                              <w:szCs w:val="32"/>
                            </w:rPr>
                            <w:t>Analytics Specializations and Applications</w:t>
                          </w:r>
                        </w:p>
                        <w:p w14:paraId="000FAD9B" w14:textId="2BEC6234" w:rsidR="000D61AE" w:rsidRPr="000C7F8B" w:rsidRDefault="000D61AE" w:rsidP="000D61AE">
                          <w:pPr>
                            <w:shd w:val="clear" w:color="auto" w:fill="FDFBF9"/>
                            <w:spacing w:after="100" w:afterAutospacing="1" w:line="240" w:lineRule="auto"/>
                            <w:outlineLvl w:val="0"/>
                            <w:rPr>
                              <w:rFonts w:ascii="Arial" w:eastAsia="Times New Roman" w:hAnsi="Arial" w:cs="Arial"/>
                              <w:b/>
                              <w:bCs/>
                              <w:color w:val="10263B"/>
                              <w:kern w:val="36"/>
                              <w:sz w:val="24"/>
                              <w:szCs w:val="24"/>
                              <w:lang w:eastAsia="en-IN"/>
                              <w14:ligatures w14:val="none"/>
                            </w:rPr>
                          </w:pPr>
                          <w:r w:rsidRPr="000C7F8B">
                            <w:rPr>
                              <w:b/>
                              <w:bCs/>
                              <w:sz w:val="24"/>
                              <w:szCs w:val="24"/>
                            </w:rPr>
                            <w:t>Customer Analytics Coursework</w:t>
                          </w:r>
                        </w:p>
                        <w:p w14:paraId="3D47CD0C" w14:textId="51EBB378" w:rsidR="000D61AE" w:rsidRDefault="000D61AE">
                          <w:r>
                            <w:rPr>
                              <w:rFonts w:ascii="Arial" w:hAnsi="Arial" w:cs="Arial"/>
                              <w:b/>
                              <w:bCs/>
                              <w:color w:val="10263B"/>
                              <w:sz w:val="23"/>
                              <w:szCs w:val="23"/>
                              <w:shd w:val="clear" w:color="auto" w:fill="FDFBF9"/>
                            </w:rPr>
                            <w:t>2023/2024</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5648" behindDoc="1" locked="0" layoutInCell="1" allowOverlap="1" wp14:anchorId="53ED4E5E" wp14:editId="51E45F3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36236F"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41268100" wp14:editId="7D2FAEAB">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E4EA7" w14:textId="67EA5493" w:rsidR="000D61AE" w:rsidRDefault="000D61A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Nottingham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0C481D" w14:textId="52975A7F" w:rsidR="000D61AE" w:rsidRDefault="000D61AE">
                                    <w:pPr>
                                      <w:pStyle w:val="NoSpacing"/>
                                      <w:jc w:val="right"/>
                                      <w:rPr>
                                        <w:color w:val="4472C4" w:themeColor="accent1"/>
                                        <w:sz w:val="36"/>
                                        <w:szCs w:val="36"/>
                                      </w:rPr>
                                    </w:pPr>
                                    <w:r>
                                      <w:rPr>
                                        <w:color w:val="4472C4" w:themeColor="accent1"/>
                                        <w:sz w:val="36"/>
                                        <w:szCs w:val="36"/>
                                      </w:rPr>
                                      <w:t>MSc Business Analytics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1268100" id="Text Box 16" o:spid="_x0000_s1027" type="#_x0000_t202" style="position:absolute;margin-left:0;margin-top:0;width:468pt;height:29.5pt;z-index:2516746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5AE4EA7" w14:textId="67EA5493" w:rsidR="000D61AE" w:rsidRDefault="000D61A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Nottingham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0C481D" w14:textId="52975A7F" w:rsidR="000D61AE" w:rsidRDefault="000D61AE">
                              <w:pPr>
                                <w:pStyle w:val="NoSpacing"/>
                                <w:jc w:val="right"/>
                                <w:rPr>
                                  <w:color w:val="4472C4" w:themeColor="accent1"/>
                                  <w:sz w:val="36"/>
                                  <w:szCs w:val="36"/>
                                </w:rPr>
                              </w:pPr>
                              <w:r>
                                <w:rPr>
                                  <w:color w:val="4472C4" w:themeColor="accent1"/>
                                  <w:sz w:val="36"/>
                                  <w:szCs w:val="36"/>
                                </w:rPr>
                                <w:t>MSc Business Analytics</w:t>
                              </w:r>
                            </w:p>
                          </w:sdtContent>
                        </w:sdt>
                      </w:txbxContent>
                    </v:textbox>
                    <w10:wrap anchorx="page" anchory="margin"/>
                  </v:shape>
                </w:pict>
              </mc:Fallback>
            </mc:AlternateContent>
          </w:r>
        </w:p>
        <w:p w14:paraId="16E6EA4F" w14:textId="3451FEF5" w:rsidR="000D61AE" w:rsidRDefault="000D61AE">
          <w:pPr>
            <w:rPr>
              <w:b/>
              <w:bCs/>
              <w:u w:val="single"/>
            </w:rPr>
          </w:pPr>
          <w:r>
            <w:rPr>
              <w:b/>
              <w:bCs/>
              <w:u w:val="single"/>
            </w:rPr>
            <w:br w:type="page"/>
          </w:r>
        </w:p>
      </w:sdtContent>
    </w:sdt>
    <w:p w14:paraId="7D7DBFF4" w14:textId="11E19A3E" w:rsidR="00DA600F" w:rsidRPr="00FF7918" w:rsidRDefault="00DA600F" w:rsidP="00DA600F">
      <w:pPr>
        <w:jc w:val="both"/>
        <w:rPr>
          <w:b/>
          <w:bCs/>
          <w:u w:val="single"/>
        </w:rPr>
      </w:pPr>
      <w:r w:rsidRPr="00FF7918">
        <w:rPr>
          <w:b/>
          <w:bCs/>
          <w:u w:val="single"/>
        </w:rPr>
        <w:lastRenderedPageBreak/>
        <w:t xml:space="preserve">Market Segmentation Analysis of National Convenience Store Transactions </w:t>
      </w:r>
    </w:p>
    <w:p w14:paraId="5C39DDBD" w14:textId="77777777" w:rsidR="00DA600F" w:rsidRPr="00FF7918" w:rsidRDefault="00DA600F" w:rsidP="00DA600F">
      <w:pPr>
        <w:pStyle w:val="ListParagraph"/>
        <w:numPr>
          <w:ilvl w:val="0"/>
          <w:numId w:val="1"/>
        </w:numPr>
        <w:jc w:val="both"/>
        <w:rPr>
          <w:b/>
          <w:bCs/>
        </w:rPr>
      </w:pPr>
      <w:r w:rsidRPr="00FF7918">
        <w:rPr>
          <w:b/>
          <w:bCs/>
        </w:rPr>
        <w:t>Executive Summary:</w:t>
      </w:r>
    </w:p>
    <w:p w14:paraId="32FC7D4B" w14:textId="50651E5C" w:rsidR="00DA600F" w:rsidRPr="00FF7918" w:rsidRDefault="00DA600F" w:rsidP="00DA600F">
      <w:pPr>
        <w:jc w:val="both"/>
      </w:pPr>
      <w:r w:rsidRPr="00FF7918">
        <w:t xml:space="preserve">The National Convenience store aims to segment its customer base for effective marketing. Six distinct segments were identified through transactional data </w:t>
      </w:r>
      <w:proofErr w:type="gramStart"/>
      <w:r w:rsidRPr="00FF7918">
        <w:t>analysis .</w:t>
      </w:r>
      <w:proofErr w:type="gramEnd"/>
      <w:r w:rsidRPr="00FF7918">
        <w:t xml:space="preserve"> We conducted data exploration, cleaning, and used feature significance analysis alongside K-means clustering. Despite data complexity, we aggregated features and applied Principal Component Analysis (PCA) for dimensionality reduction. Our analysis uncovered unique consumer </w:t>
      </w:r>
      <w:proofErr w:type="spellStart"/>
      <w:r w:rsidRPr="00FF7918">
        <w:t>behaviors</w:t>
      </w:r>
      <w:proofErr w:type="spellEnd"/>
      <w:r w:rsidRPr="00FF7918">
        <w:t>, leveraging Recency, Frequency, and Monetary (RFM) information. We recommend focusing marketing efforts on the top two groups and implementing customized campaigns for improved customer satisfaction and retention.</w:t>
      </w:r>
    </w:p>
    <w:p w14:paraId="66F9E2CE" w14:textId="18C32BCE" w:rsidR="00DA600F" w:rsidRPr="00FF7918" w:rsidRDefault="00DA600F" w:rsidP="00DA600F">
      <w:pPr>
        <w:jc w:val="both"/>
        <w:rPr>
          <w:b/>
          <w:bCs/>
        </w:rPr>
      </w:pPr>
      <w:r w:rsidRPr="00FF7918">
        <w:rPr>
          <w:b/>
          <w:bCs/>
        </w:rPr>
        <w:t xml:space="preserve">Data Preparation:  </w:t>
      </w:r>
      <w:r w:rsidRPr="00FF7918">
        <w:rPr>
          <w:lang w:val="en-US"/>
        </w:rPr>
        <w:t xml:space="preserve">The dataset consists of 4 files describing the transactional behavior of 3000 customers over 6 months. </w:t>
      </w:r>
      <w:r w:rsidRPr="00FF7918">
        <w:t>There are 20 unique categories and 20,466 unique products in the data. No null values in all four files.</w:t>
      </w:r>
    </w:p>
    <w:p w14:paraId="1B7EEF73" w14:textId="77777777" w:rsidR="00DA600F" w:rsidRPr="00FF7918" w:rsidRDefault="00DA600F" w:rsidP="00DA600F">
      <w:pPr>
        <w:pStyle w:val="ListParagraph"/>
        <w:numPr>
          <w:ilvl w:val="0"/>
          <w:numId w:val="2"/>
        </w:numPr>
        <w:ind w:left="360"/>
        <w:jc w:val="both"/>
        <w:rPr>
          <w:b/>
          <w:bCs/>
        </w:rPr>
      </w:pPr>
      <w:r w:rsidRPr="00FF7918">
        <w:rPr>
          <w:b/>
          <w:bCs/>
        </w:rPr>
        <w:t>Customers file:</w:t>
      </w:r>
    </w:p>
    <w:p w14:paraId="6FB4D6DB" w14:textId="77777777" w:rsidR="00DA600F" w:rsidRPr="00FF7918" w:rsidRDefault="00DA600F" w:rsidP="00DA600F">
      <w:pPr>
        <w:pStyle w:val="ListParagraph"/>
        <w:numPr>
          <w:ilvl w:val="0"/>
          <w:numId w:val="3"/>
        </w:numPr>
        <w:jc w:val="both"/>
      </w:pPr>
      <w:r w:rsidRPr="00FF7918">
        <w:t>It describes 3000 customers with 5 features- 'baskets', '</w:t>
      </w:r>
      <w:proofErr w:type="spellStart"/>
      <w:r w:rsidRPr="00FF7918">
        <w:t>total_quantity</w:t>
      </w:r>
      <w:proofErr w:type="spellEnd"/>
      <w:r w:rsidRPr="00FF7918">
        <w:t>', '</w:t>
      </w:r>
      <w:proofErr w:type="spellStart"/>
      <w:r w:rsidRPr="00FF7918">
        <w:t>average_quantity</w:t>
      </w:r>
      <w:proofErr w:type="spellEnd"/>
      <w:r w:rsidRPr="00FF7918">
        <w:t>', '</w:t>
      </w:r>
      <w:proofErr w:type="spellStart"/>
      <w:r w:rsidRPr="00FF7918">
        <w:t>total_spend</w:t>
      </w:r>
      <w:proofErr w:type="spellEnd"/>
      <w:r w:rsidRPr="00FF7918">
        <w:t>', '</w:t>
      </w:r>
      <w:proofErr w:type="spellStart"/>
      <w:r w:rsidRPr="00FF7918">
        <w:t>average_spend</w:t>
      </w:r>
      <w:proofErr w:type="spellEnd"/>
      <w:r w:rsidRPr="00FF7918">
        <w:t xml:space="preserve">'. </w:t>
      </w:r>
    </w:p>
    <w:p w14:paraId="07A385B9" w14:textId="449C30F8" w:rsidR="00DA600F" w:rsidRPr="00FF7918" w:rsidRDefault="00DA600F" w:rsidP="00DA600F">
      <w:pPr>
        <w:pStyle w:val="ListParagraph"/>
        <w:numPr>
          <w:ilvl w:val="0"/>
          <w:numId w:val="3"/>
        </w:numPr>
        <w:jc w:val="both"/>
      </w:pPr>
      <w:r w:rsidRPr="00FF7918">
        <w:t xml:space="preserve">The mean </w:t>
      </w:r>
      <w:proofErr w:type="spellStart"/>
      <w:r w:rsidRPr="00FF7918">
        <w:t>total_spend</w:t>
      </w:r>
      <w:proofErr w:type="spellEnd"/>
      <w:r w:rsidRPr="00FF7918">
        <w:t xml:space="preserve"> is 769.412937 while </w:t>
      </w:r>
      <w:r w:rsidR="00FF7918">
        <w:t xml:space="preserve">the </w:t>
      </w:r>
      <w:r w:rsidRPr="00FF7918">
        <w:t>average spend per quantity is 1.682477. The average quantity bought is around 583.</w:t>
      </w:r>
    </w:p>
    <w:p w14:paraId="274DCEEB" w14:textId="6749C4B5" w:rsidR="00DA600F" w:rsidRPr="00FF7918" w:rsidRDefault="00DA600F" w:rsidP="00DA600F">
      <w:pPr>
        <w:pStyle w:val="ListParagraph"/>
        <w:numPr>
          <w:ilvl w:val="0"/>
          <w:numId w:val="3"/>
        </w:numPr>
        <w:jc w:val="both"/>
      </w:pPr>
      <w:r w:rsidRPr="00FF7918">
        <w:t xml:space="preserve">It is observed here that- customers who spend more also tend to purchase larger quantities of items. And </w:t>
      </w:r>
      <w:proofErr w:type="gramStart"/>
      <w:r w:rsidRPr="00FF7918">
        <w:t>also</w:t>
      </w:r>
      <w:proofErr w:type="gramEnd"/>
      <w:r w:rsidRPr="00FF7918">
        <w:t xml:space="preserve"> </w:t>
      </w:r>
      <w:r w:rsidR="00FF7918">
        <w:t xml:space="preserve">those </w:t>
      </w:r>
      <w:r w:rsidRPr="00FF7918">
        <w:t xml:space="preserve">who visit more (no. of baskets tell </w:t>
      </w:r>
      <w:r w:rsidR="00FF7918">
        <w:t xml:space="preserve">the </w:t>
      </w:r>
      <w:r w:rsidRPr="00FF7918">
        <w:t>frequency of visits) tend to spend higher.</w:t>
      </w:r>
    </w:p>
    <w:p w14:paraId="103A2317" w14:textId="77777777" w:rsidR="00DA600F" w:rsidRPr="00FF7918" w:rsidRDefault="00DA600F" w:rsidP="00DA600F">
      <w:pPr>
        <w:pStyle w:val="ListParagraph"/>
        <w:numPr>
          <w:ilvl w:val="0"/>
          <w:numId w:val="2"/>
        </w:numPr>
        <w:ind w:left="360"/>
        <w:jc w:val="both"/>
        <w:rPr>
          <w:b/>
          <w:bCs/>
        </w:rPr>
      </w:pPr>
      <w:proofErr w:type="gramStart"/>
      <w:r w:rsidRPr="00FF7918">
        <w:rPr>
          <w:b/>
          <w:bCs/>
        </w:rPr>
        <w:t>Baskets</w:t>
      </w:r>
      <w:proofErr w:type="gramEnd"/>
      <w:r w:rsidRPr="00FF7918">
        <w:rPr>
          <w:b/>
          <w:bCs/>
        </w:rPr>
        <w:t xml:space="preserve"> file:</w:t>
      </w:r>
    </w:p>
    <w:p w14:paraId="2160EA9F" w14:textId="77777777" w:rsidR="00DA600F" w:rsidRPr="00FF7918" w:rsidRDefault="00DA600F" w:rsidP="00DA600F">
      <w:pPr>
        <w:pStyle w:val="ListParagraph"/>
        <w:numPr>
          <w:ilvl w:val="0"/>
          <w:numId w:val="5"/>
        </w:numPr>
        <w:jc w:val="both"/>
      </w:pPr>
      <w:r w:rsidRPr="00FF7918">
        <w:t>The dataset encompasses 195,547 records, encompassing attributes like '</w:t>
      </w:r>
      <w:proofErr w:type="spellStart"/>
      <w:r w:rsidRPr="00FF7918">
        <w:t>purchase_time</w:t>
      </w:r>
      <w:proofErr w:type="spellEnd"/>
      <w:r w:rsidRPr="00FF7918">
        <w:t>', '</w:t>
      </w:r>
      <w:proofErr w:type="spellStart"/>
      <w:r w:rsidRPr="00FF7918">
        <w:t>basket_quantity</w:t>
      </w:r>
      <w:proofErr w:type="spellEnd"/>
      <w:r w:rsidRPr="00FF7918">
        <w:t>', '</w:t>
      </w:r>
      <w:proofErr w:type="spellStart"/>
      <w:r w:rsidRPr="00FF7918">
        <w:t>basket_spend</w:t>
      </w:r>
      <w:proofErr w:type="spellEnd"/>
      <w:r w:rsidRPr="00FF7918">
        <w:t>', and '</w:t>
      </w:r>
      <w:proofErr w:type="spellStart"/>
      <w:r w:rsidRPr="00FF7918">
        <w:t>basket_categories</w:t>
      </w:r>
      <w:proofErr w:type="spellEnd"/>
      <w:r w:rsidRPr="00FF7918">
        <w:t xml:space="preserve">'. </w:t>
      </w:r>
    </w:p>
    <w:p w14:paraId="3C724CFF" w14:textId="5D7E468B" w:rsidR="00DA600F" w:rsidRPr="00FF7918" w:rsidRDefault="00DA600F" w:rsidP="00DA600F">
      <w:pPr>
        <w:pStyle w:val="ListParagraph"/>
        <w:numPr>
          <w:ilvl w:val="0"/>
          <w:numId w:val="5"/>
        </w:numPr>
        <w:jc w:val="both"/>
      </w:pPr>
      <w:r w:rsidRPr="00FF7918">
        <w:t>The mean number of items per purchase stands at approximately 9, with an average basket spend of £11.80. The number of categories purchased in each transaction amounts to around 4.</w:t>
      </w:r>
    </w:p>
    <w:p w14:paraId="19FD177D" w14:textId="140C547C" w:rsidR="00DA600F" w:rsidRPr="00FF7918" w:rsidRDefault="00DA600F" w:rsidP="00DA600F">
      <w:pPr>
        <w:pStyle w:val="ListParagraph"/>
        <w:numPr>
          <w:ilvl w:val="0"/>
          <w:numId w:val="2"/>
        </w:numPr>
        <w:ind w:left="360"/>
        <w:jc w:val="both"/>
        <w:rPr>
          <w:b/>
          <w:bCs/>
        </w:rPr>
      </w:pPr>
      <w:r w:rsidRPr="00FF7918">
        <w:rPr>
          <w:b/>
          <w:bCs/>
        </w:rPr>
        <w:t xml:space="preserve">Category spends file: </w:t>
      </w:r>
      <w:r w:rsidRPr="00FF7918">
        <w:t xml:space="preserve">The file has 3000 records with 20 features describing how much every customer has spent on </w:t>
      </w:r>
      <w:r w:rsidR="00FF7918">
        <w:t xml:space="preserve">an </w:t>
      </w:r>
      <w:r w:rsidRPr="00FF7918">
        <w:t xml:space="preserve">individual category. </w:t>
      </w:r>
    </w:p>
    <w:p w14:paraId="1D7AE8FC" w14:textId="77777777" w:rsidR="00DA600F" w:rsidRPr="00FF7918" w:rsidRDefault="00DA600F" w:rsidP="00DA600F">
      <w:pPr>
        <w:pStyle w:val="ListParagraph"/>
        <w:numPr>
          <w:ilvl w:val="0"/>
          <w:numId w:val="2"/>
        </w:numPr>
        <w:ind w:left="360"/>
        <w:jc w:val="both"/>
      </w:pPr>
      <w:proofErr w:type="spellStart"/>
      <w:r w:rsidRPr="00FF7918">
        <w:rPr>
          <w:b/>
          <w:bCs/>
        </w:rPr>
        <w:t>Lineitems</w:t>
      </w:r>
      <w:proofErr w:type="spellEnd"/>
      <w:r w:rsidRPr="00FF7918">
        <w:rPr>
          <w:b/>
          <w:bCs/>
        </w:rPr>
        <w:t xml:space="preserve"> file:</w:t>
      </w:r>
    </w:p>
    <w:p w14:paraId="0F48C578" w14:textId="77777777" w:rsidR="00DA600F" w:rsidRPr="00FF7918" w:rsidRDefault="00DA600F" w:rsidP="00DA600F">
      <w:pPr>
        <w:pStyle w:val="ListParagraph"/>
        <w:numPr>
          <w:ilvl w:val="0"/>
          <w:numId w:val="4"/>
        </w:numPr>
        <w:jc w:val="both"/>
      </w:pPr>
      <w:r w:rsidRPr="00FF7918">
        <w:t>The file comprises 1,461,315 records with '</w:t>
      </w:r>
      <w:proofErr w:type="spellStart"/>
      <w:r w:rsidRPr="00FF7918">
        <w:t>purchase_time</w:t>
      </w:r>
      <w:proofErr w:type="spellEnd"/>
      <w:r w:rsidRPr="00FF7918">
        <w:t>', '</w:t>
      </w:r>
      <w:proofErr w:type="spellStart"/>
      <w:r w:rsidRPr="00FF7918">
        <w:t>product_id</w:t>
      </w:r>
      <w:proofErr w:type="spellEnd"/>
      <w:r w:rsidRPr="00FF7918">
        <w:t>', 'category', 'quantity', and 'spend' features.</w:t>
      </w:r>
    </w:p>
    <w:p w14:paraId="3A1B892F" w14:textId="3C95684F" w:rsidR="00DA600F" w:rsidRPr="00FF7918" w:rsidRDefault="00DA600F" w:rsidP="00DA600F">
      <w:pPr>
        <w:pStyle w:val="ListParagraph"/>
        <w:numPr>
          <w:ilvl w:val="0"/>
          <w:numId w:val="4"/>
        </w:numPr>
        <w:jc w:val="both"/>
      </w:pPr>
      <w:r w:rsidRPr="00FF7918">
        <w:t>Additionally, analysis indicates a declining trend in total spend and quantity over time, underscoring the necessity for fresh marketing strategies to revitalize customer engagement.</w:t>
      </w:r>
    </w:p>
    <w:p w14:paraId="2580CA79" w14:textId="51F55C7D" w:rsidR="0035417D" w:rsidRPr="00FF7918" w:rsidRDefault="0035417D" w:rsidP="0035417D">
      <w:pPr>
        <w:jc w:val="both"/>
      </w:pPr>
      <w:r w:rsidRPr="00FF7918">
        <w:rPr>
          <w:noProof/>
        </w:rPr>
        <w:drawing>
          <wp:inline distT="0" distB="0" distL="0" distR="0" wp14:anchorId="4CEA1208" wp14:editId="122E8B40">
            <wp:extent cx="6165850" cy="1390650"/>
            <wp:effectExtent l="0" t="0" r="6350" b="0"/>
            <wp:docPr id="183560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09788" name=""/>
                    <pic:cNvPicPr/>
                  </pic:nvPicPr>
                  <pic:blipFill>
                    <a:blip r:embed="rId7"/>
                    <a:stretch>
                      <a:fillRect/>
                    </a:stretch>
                  </pic:blipFill>
                  <pic:spPr>
                    <a:xfrm>
                      <a:off x="0" y="0"/>
                      <a:ext cx="6165850" cy="1390650"/>
                    </a:xfrm>
                    <a:prstGeom prst="rect">
                      <a:avLst/>
                    </a:prstGeom>
                  </pic:spPr>
                </pic:pic>
              </a:graphicData>
            </a:graphic>
          </wp:inline>
        </w:drawing>
      </w:r>
    </w:p>
    <w:p w14:paraId="4D6A983B" w14:textId="77777777" w:rsidR="00DA600F" w:rsidRPr="00FF7918" w:rsidRDefault="00DA600F" w:rsidP="00DA600F">
      <w:pPr>
        <w:pStyle w:val="NoSpacing"/>
        <w:jc w:val="both"/>
        <w:rPr>
          <w:b/>
          <w:bCs/>
          <w:u w:val="single"/>
        </w:rPr>
      </w:pPr>
      <w:r w:rsidRPr="00FF7918">
        <w:rPr>
          <w:b/>
          <w:bCs/>
          <w:u w:val="single"/>
        </w:rPr>
        <w:t>Negative values:</w:t>
      </w:r>
    </w:p>
    <w:p w14:paraId="0D5EE634" w14:textId="77777777" w:rsidR="00DA600F" w:rsidRPr="00FF7918" w:rsidRDefault="00DA600F" w:rsidP="00DA600F">
      <w:pPr>
        <w:pStyle w:val="NoSpacing"/>
        <w:numPr>
          <w:ilvl w:val="0"/>
          <w:numId w:val="7"/>
        </w:numPr>
        <w:jc w:val="both"/>
      </w:pPr>
      <w:r w:rsidRPr="00FF7918">
        <w:t xml:space="preserve">In </w:t>
      </w:r>
      <w:proofErr w:type="spellStart"/>
      <w:r w:rsidRPr="00FF7918">
        <w:t>lineitems</w:t>
      </w:r>
      <w:proofErr w:type="spellEnd"/>
      <w:r w:rsidRPr="00FF7918">
        <w:t xml:space="preserve"> file, 864 entries exhibit negative spend and quantity values, within categories such as 'LOTTERY', 'GROCERY_HEALTH_PETS', 'SOFT_DRINKS', 'DRINKS', 'CONFECTIONARY', 'DELI', and 'MEAT'. </w:t>
      </w:r>
    </w:p>
    <w:p w14:paraId="0CB21968" w14:textId="595247E0" w:rsidR="00DA600F" w:rsidRPr="00FF7918" w:rsidRDefault="00DA600F" w:rsidP="00DA600F">
      <w:pPr>
        <w:pStyle w:val="ListParagraph"/>
        <w:numPr>
          <w:ilvl w:val="0"/>
          <w:numId w:val="6"/>
        </w:numPr>
        <w:jc w:val="both"/>
      </w:pPr>
      <w:r w:rsidRPr="00FF7918">
        <w:t xml:space="preserve">For </w:t>
      </w:r>
      <w:r w:rsidR="00FF7918">
        <w:t xml:space="preserve">the </w:t>
      </w:r>
      <w:r w:rsidRPr="00FF7918">
        <w:t>baskets file, 160 occurrences of negative values in '</w:t>
      </w:r>
      <w:proofErr w:type="spellStart"/>
      <w:r w:rsidRPr="00FF7918">
        <w:t>basket_spend</w:t>
      </w:r>
      <w:proofErr w:type="spellEnd"/>
      <w:r w:rsidRPr="00FF7918">
        <w:t>' and 19 instances in '</w:t>
      </w:r>
      <w:proofErr w:type="spellStart"/>
      <w:r w:rsidRPr="00FF7918">
        <w:t>basket_quantity</w:t>
      </w:r>
      <w:proofErr w:type="spellEnd"/>
      <w:r w:rsidRPr="00FF7918">
        <w:t xml:space="preserve">' are found. </w:t>
      </w:r>
    </w:p>
    <w:p w14:paraId="27856D52" w14:textId="77777777" w:rsidR="00DA600F" w:rsidRPr="00FF7918" w:rsidRDefault="00DA600F" w:rsidP="00DA600F">
      <w:pPr>
        <w:pStyle w:val="ListParagraph"/>
        <w:numPr>
          <w:ilvl w:val="0"/>
          <w:numId w:val="6"/>
        </w:numPr>
        <w:jc w:val="both"/>
      </w:pPr>
      <w:r w:rsidRPr="00FF7918">
        <w:t>In the category spends file, only the lottery category has a negative spending value.</w:t>
      </w:r>
    </w:p>
    <w:p w14:paraId="44BFA1A7" w14:textId="77777777" w:rsidR="00DA600F" w:rsidRPr="00FF7918" w:rsidRDefault="00DA600F" w:rsidP="00DA600F">
      <w:pPr>
        <w:jc w:val="both"/>
      </w:pPr>
      <w:r w:rsidRPr="00FF7918">
        <w:lastRenderedPageBreak/>
        <w:t>These negative values may signify refunds issued by the store to customers upon product returns, echoing a common retail practice.</w:t>
      </w:r>
    </w:p>
    <w:p w14:paraId="2CBC9BA6" w14:textId="1F6E10E6" w:rsidR="00DA600F" w:rsidRPr="00FF7918" w:rsidRDefault="00DA600F" w:rsidP="00DA600F">
      <w:pPr>
        <w:jc w:val="both"/>
        <w:rPr>
          <w:b/>
          <w:bCs/>
        </w:rPr>
      </w:pPr>
      <w:r w:rsidRPr="00FF7918">
        <w:rPr>
          <w:b/>
          <w:bCs/>
          <w:u w:val="single"/>
        </w:rPr>
        <w:t>Inconsistencies:</w:t>
      </w:r>
      <w:r w:rsidRPr="00FF7918">
        <w:rPr>
          <w:b/>
          <w:bCs/>
        </w:rPr>
        <w:t xml:space="preserve"> </w:t>
      </w:r>
      <w:r w:rsidRPr="00FF7918">
        <w:t xml:space="preserve">There is some inconsistency in the </w:t>
      </w:r>
      <w:r w:rsidRPr="00FF7918">
        <w:rPr>
          <w:b/>
          <w:bCs/>
        </w:rPr>
        <w:t>category spends table for the bakery column</w:t>
      </w:r>
      <w:r w:rsidRPr="00FF7918">
        <w:t xml:space="preserve"> where all the values are set to '0', however, when the spend per category is aggregated through the </w:t>
      </w:r>
      <w:proofErr w:type="spellStart"/>
      <w:r w:rsidRPr="00FF7918">
        <w:t>lineitems</w:t>
      </w:r>
      <w:proofErr w:type="spellEnd"/>
      <w:r w:rsidRPr="00FF7918">
        <w:t xml:space="preserve"> table, we see the values for bakery spends.</w:t>
      </w:r>
    </w:p>
    <w:p w14:paraId="57890683" w14:textId="7D084A2C" w:rsidR="00DA600F" w:rsidRPr="00FF7918" w:rsidRDefault="00DA600F" w:rsidP="00DA600F">
      <w:pPr>
        <w:pStyle w:val="ListParagraph"/>
        <w:numPr>
          <w:ilvl w:val="0"/>
          <w:numId w:val="1"/>
        </w:numPr>
        <w:jc w:val="both"/>
        <w:rPr>
          <w:b/>
          <w:bCs/>
          <w:u w:val="single"/>
        </w:rPr>
      </w:pPr>
      <w:r w:rsidRPr="00FF7918">
        <w:rPr>
          <w:b/>
          <w:bCs/>
          <w:u w:val="single"/>
        </w:rPr>
        <w:t>Feature Selection/Engineering:</w:t>
      </w:r>
    </w:p>
    <w:p w14:paraId="2996AB73" w14:textId="45C4B4C3" w:rsidR="00DA600F" w:rsidRPr="00FF7918" w:rsidRDefault="00C35995" w:rsidP="00DA600F">
      <w:pPr>
        <w:jc w:val="both"/>
      </w:pPr>
      <w:r w:rsidRPr="00FF7918">
        <w:rPr>
          <w:noProof/>
        </w:rPr>
        <w:drawing>
          <wp:anchor distT="0" distB="0" distL="114300" distR="114300" simplePos="0" relativeHeight="251672576" behindDoc="0" locked="0" layoutInCell="1" allowOverlap="1" wp14:anchorId="4DCEC955" wp14:editId="13779F98">
            <wp:simplePos x="0" y="0"/>
            <wp:positionH relativeFrom="column">
              <wp:posOffset>2971800</wp:posOffset>
            </wp:positionH>
            <wp:positionV relativeFrom="paragraph">
              <wp:posOffset>1029970</wp:posOffset>
            </wp:positionV>
            <wp:extent cx="3321050" cy="2057400"/>
            <wp:effectExtent l="0" t="0" r="0" b="0"/>
            <wp:wrapSquare wrapText="bothSides"/>
            <wp:docPr id="77644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4383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1050" cy="2057400"/>
                    </a:xfrm>
                    <a:prstGeom prst="rect">
                      <a:avLst/>
                    </a:prstGeom>
                  </pic:spPr>
                </pic:pic>
              </a:graphicData>
            </a:graphic>
            <wp14:sizeRelH relativeFrom="margin">
              <wp14:pctWidth>0</wp14:pctWidth>
            </wp14:sizeRelH>
            <wp14:sizeRelV relativeFrom="margin">
              <wp14:pctHeight>0</wp14:pctHeight>
            </wp14:sizeRelV>
          </wp:anchor>
        </w:drawing>
      </w:r>
      <w:r w:rsidR="00DA600F" w:rsidRPr="00FF7918">
        <w:t xml:space="preserve">All 4 files were merged by performing the required aggregation in the </w:t>
      </w:r>
      <w:proofErr w:type="spellStart"/>
      <w:r w:rsidR="00DA600F" w:rsidRPr="00FF7918">
        <w:t>lineitems</w:t>
      </w:r>
      <w:proofErr w:type="spellEnd"/>
      <w:r w:rsidR="00DA600F" w:rsidRPr="00FF7918">
        <w:t xml:space="preserve"> and baskets table. Redundant columns were removed. To discern influential features in cluster differentiation, a K-means algorithm conducted a feature importance analysis. Features were sorted based on absolute mean differences in centroids, indicating their significance. Higher absolute mean differences denote greater importance in cluster distinction.</w:t>
      </w:r>
    </w:p>
    <w:p w14:paraId="7BFD36D5" w14:textId="124D97C9" w:rsidR="003F36A4" w:rsidRPr="00FF7918" w:rsidRDefault="00E81461" w:rsidP="00DA600F">
      <w:pPr>
        <w:jc w:val="both"/>
      </w:pPr>
      <w:r w:rsidRPr="00FF7918">
        <w:rPr>
          <w:noProof/>
        </w:rPr>
        <w:drawing>
          <wp:anchor distT="0" distB="0" distL="114300" distR="114300" simplePos="0" relativeHeight="251661312" behindDoc="0" locked="0" layoutInCell="1" allowOverlap="1" wp14:anchorId="4D4BBB50" wp14:editId="6676B7F9">
            <wp:simplePos x="0" y="0"/>
            <wp:positionH relativeFrom="column">
              <wp:posOffset>-19050</wp:posOffset>
            </wp:positionH>
            <wp:positionV relativeFrom="paragraph">
              <wp:posOffset>8255</wp:posOffset>
            </wp:positionV>
            <wp:extent cx="2990850" cy="2057400"/>
            <wp:effectExtent l="0" t="0" r="0" b="0"/>
            <wp:wrapSquare wrapText="bothSides"/>
            <wp:docPr id="6731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049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057400"/>
                    </a:xfrm>
                    <a:prstGeom prst="rect">
                      <a:avLst/>
                    </a:prstGeom>
                  </pic:spPr>
                </pic:pic>
              </a:graphicData>
            </a:graphic>
            <wp14:sizeRelH relativeFrom="margin">
              <wp14:pctWidth>0</wp14:pctWidth>
            </wp14:sizeRelH>
            <wp14:sizeRelV relativeFrom="margin">
              <wp14:pctHeight>0</wp14:pctHeight>
            </wp14:sizeRelV>
          </wp:anchor>
        </w:drawing>
      </w:r>
    </w:p>
    <w:p w14:paraId="582DFE08" w14:textId="457C943F" w:rsidR="00DA600F" w:rsidRPr="00FF7918" w:rsidRDefault="00D73FE0" w:rsidP="00DA600F">
      <w:pPr>
        <w:jc w:val="both"/>
      </w:pPr>
      <w:r w:rsidRPr="00FF7918">
        <w:t xml:space="preserve">Due to the significant correlation observed among the top 25 categories, a decision was made to aggregate them as a means to address this issue effectively. We combined </w:t>
      </w:r>
      <w:r w:rsidRPr="00FF7918">
        <w:rPr>
          <w:b/>
          <w:bCs/>
        </w:rPr>
        <w:t>'</w:t>
      </w:r>
      <w:proofErr w:type="spellStart"/>
      <w:r w:rsidRPr="00FF7918">
        <w:rPr>
          <w:b/>
          <w:bCs/>
        </w:rPr>
        <w:t>total_spend</w:t>
      </w:r>
      <w:proofErr w:type="spellEnd"/>
      <w:r w:rsidRPr="00FF7918">
        <w:rPr>
          <w:b/>
          <w:bCs/>
        </w:rPr>
        <w:t>'</w:t>
      </w:r>
      <w:r w:rsidRPr="00FF7918">
        <w:t xml:space="preserve"> and </w:t>
      </w:r>
      <w:r w:rsidRPr="00FF7918">
        <w:rPr>
          <w:b/>
          <w:bCs/>
        </w:rPr>
        <w:t>'</w:t>
      </w:r>
      <w:proofErr w:type="spellStart"/>
      <w:r w:rsidRPr="00FF7918">
        <w:rPr>
          <w:b/>
          <w:bCs/>
        </w:rPr>
        <w:t>num_of_unique_visits</w:t>
      </w:r>
      <w:proofErr w:type="spellEnd"/>
      <w:r w:rsidRPr="00FF7918">
        <w:rPr>
          <w:b/>
          <w:bCs/>
        </w:rPr>
        <w:t>'</w:t>
      </w:r>
      <w:r w:rsidRPr="00FF7918">
        <w:t xml:space="preserve"> from the line items table based on spending and purchase time. Additionally, we aggregated quantities by categories, resulting in </w:t>
      </w:r>
      <w:r w:rsidRPr="00FF7918">
        <w:rPr>
          <w:b/>
          <w:bCs/>
        </w:rPr>
        <w:t>'</w:t>
      </w:r>
      <w:proofErr w:type="spellStart"/>
      <w:r w:rsidRPr="00FF7918">
        <w:rPr>
          <w:b/>
          <w:bCs/>
        </w:rPr>
        <w:t>avg_spend_veg_category</w:t>
      </w:r>
      <w:proofErr w:type="spellEnd"/>
      <w:r w:rsidRPr="00FF7918">
        <w:rPr>
          <w:b/>
          <w:bCs/>
        </w:rPr>
        <w:t>'</w:t>
      </w:r>
      <w:r w:rsidRPr="00FF7918">
        <w:t xml:space="preserve">, </w:t>
      </w:r>
      <w:r w:rsidRPr="00FF7918">
        <w:rPr>
          <w:b/>
          <w:bCs/>
        </w:rPr>
        <w:t>'</w:t>
      </w:r>
      <w:proofErr w:type="spellStart"/>
      <w:r w:rsidRPr="00FF7918">
        <w:rPr>
          <w:b/>
          <w:bCs/>
        </w:rPr>
        <w:t>avg_spend_other_food_category</w:t>
      </w:r>
      <w:proofErr w:type="spellEnd"/>
      <w:r w:rsidRPr="00FF7918">
        <w:rPr>
          <w:b/>
          <w:bCs/>
        </w:rPr>
        <w:t>'</w:t>
      </w:r>
      <w:r w:rsidRPr="00FF7918">
        <w:t xml:space="preserve">, and </w:t>
      </w:r>
      <w:r w:rsidRPr="00FF7918">
        <w:rPr>
          <w:b/>
          <w:bCs/>
        </w:rPr>
        <w:t>'</w:t>
      </w:r>
      <w:proofErr w:type="spellStart"/>
      <w:r w:rsidRPr="00FF7918">
        <w:rPr>
          <w:b/>
          <w:bCs/>
        </w:rPr>
        <w:t>avg_spend_miscellaneous_category</w:t>
      </w:r>
      <w:proofErr w:type="spellEnd"/>
      <w:r w:rsidRPr="00FF7918">
        <w:rPr>
          <w:b/>
          <w:bCs/>
        </w:rPr>
        <w:t>'</w:t>
      </w:r>
      <w:r w:rsidRPr="00FF7918">
        <w:t xml:space="preserve"> due to their correlation with total spend. The </w:t>
      </w:r>
      <w:proofErr w:type="spellStart"/>
      <w:r w:rsidRPr="00FF7918">
        <w:t>category_spends</w:t>
      </w:r>
      <w:proofErr w:type="spellEnd"/>
      <w:r w:rsidRPr="00FF7918">
        <w:t xml:space="preserve"> table wasn't used due to inconsistencies in the bakery column. </w:t>
      </w:r>
      <w:r w:rsidR="003F36A4" w:rsidRPr="00FF7918">
        <w:t xml:space="preserve">From the </w:t>
      </w:r>
      <w:r w:rsidR="00DA600F" w:rsidRPr="00FF7918">
        <w:t xml:space="preserve">customers table, we derived </w:t>
      </w:r>
      <w:r w:rsidR="00DA600F" w:rsidRPr="00FF7918">
        <w:rPr>
          <w:b/>
          <w:bCs/>
        </w:rPr>
        <w:t>'</w:t>
      </w:r>
      <w:proofErr w:type="spellStart"/>
      <w:r w:rsidR="00DA600F" w:rsidRPr="00FF7918">
        <w:rPr>
          <w:b/>
          <w:bCs/>
        </w:rPr>
        <w:t>total_quantity</w:t>
      </w:r>
      <w:proofErr w:type="spellEnd"/>
      <w:r w:rsidR="00DA600F" w:rsidRPr="00FF7918">
        <w:rPr>
          <w:b/>
          <w:bCs/>
        </w:rPr>
        <w:t>', '</w:t>
      </w:r>
      <w:proofErr w:type="spellStart"/>
      <w:r w:rsidR="00DA600F" w:rsidRPr="00FF7918">
        <w:rPr>
          <w:b/>
          <w:bCs/>
        </w:rPr>
        <w:t>average_basket_quantity</w:t>
      </w:r>
      <w:proofErr w:type="spellEnd"/>
      <w:r w:rsidR="00DA600F" w:rsidRPr="00FF7918">
        <w:rPr>
          <w:b/>
          <w:bCs/>
        </w:rPr>
        <w:t>', '</w:t>
      </w:r>
      <w:proofErr w:type="spellStart"/>
      <w:r w:rsidR="00DA600F" w:rsidRPr="00FF7918">
        <w:rPr>
          <w:b/>
          <w:bCs/>
        </w:rPr>
        <w:t>average_basket_spend</w:t>
      </w:r>
      <w:proofErr w:type="spellEnd"/>
      <w:r w:rsidR="00DA600F" w:rsidRPr="00FF7918">
        <w:rPr>
          <w:b/>
          <w:bCs/>
        </w:rPr>
        <w:t>'</w:t>
      </w:r>
      <w:r w:rsidR="00DA600F" w:rsidRPr="00FF7918">
        <w:t xml:space="preserve">, and </w:t>
      </w:r>
      <w:r w:rsidR="00DA600F" w:rsidRPr="00FF7918">
        <w:rPr>
          <w:b/>
          <w:bCs/>
        </w:rPr>
        <w:t>'</w:t>
      </w:r>
      <w:proofErr w:type="spellStart"/>
      <w:r w:rsidR="00DA600F" w:rsidRPr="00FF7918">
        <w:rPr>
          <w:b/>
          <w:bCs/>
        </w:rPr>
        <w:t>SUM_basket_categories</w:t>
      </w:r>
      <w:proofErr w:type="spellEnd"/>
      <w:r w:rsidR="00DA600F" w:rsidRPr="00FF7918">
        <w:rPr>
          <w:b/>
          <w:bCs/>
        </w:rPr>
        <w:t>'</w:t>
      </w:r>
      <w:r w:rsidR="00DA600F" w:rsidRPr="00FF7918">
        <w:t>, resulting in 9 selected features.</w:t>
      </w:r>
    </w:p>
    <w:p w14:paraId="302B25C8" w14:textId="34190EDD" w:rsidR="003F36A4" w:rsidRPr="00FF7918" w:rsidRDefault="003F36A4" w:rsidP="00DA600F">
      <w:pPr>
        <w:jc w:val="both"/>
      </w:pPr>
      <w:r w:rsidRPr="00FF7918">
        <w:t>To address non-normal distribution, a log transform was applied since many clustering techniques, notably K-Means, rely on identifying 'globular' clusters, which benefit from appropriately distributed data.</w:t>
      </w:r>
    </w:p>
    <w:p w14:paraId="25EE842A" w14:textId="77777777" w:rsidR="00F42E99" w:rsidRDefault="003F36A4" w:rsidP="00DA600F">
      <w:pPr>
        <w:jc w:val="both"/>
      </w:pPr>
      <w:r w:rsidRPr="00FF7918">
        <w:t xml:space="preserve">Since there were still some features that were correlated with each other, they may skew the results thus, to solve this we have applied </w:t>
      </w:r>
      <w:proofErr w:type="gramStart"/>
      <w:r w:rsidRPr="00FF7918">
        <w:t>PCA(</w:t>
      </w:r>
      <w:proofErr w:type="gramEnd"/>
      <w:r w:rsidRPr="00FF7918">
        <w:t>Principal Component Analysis) on the log-transformed data and converted these 9 features into 6 PCA components.</w:t>
      </w:r>
      <w:r w:rsidR="00D73FE0" w:rsidRPr="00FF7918">
        <w:t xml:space="preserve"> </w:t>
      </w:r>
    </w:p>
    <w:p w14:paraId="1ECDAB15" w14:textId="3A1DD7D9" w:rsidR="003F36A4" w:rsidRPr="00FF7918" w:rsidRDefault="003F36A4" w:rsidP="00DA600F">
      <w:pPr>
        <w:jc w:val="both"/>
      </w:pPr>
      <w:r w:rsidRPr="00FF7918">
        <w:t xml:space="preserve">The explained variance of each component ranged from 0.65 to 0.009, </w:t>
      </w:r>
      <w:proofErr w:type="spellStart"/>
      <w:r w:rsidRPr="00FF7918">
        <w:t>totaling</w:t>
      </w:r>
      <w:proofErr w:type="spellEnd"/>
      <w:r w:rsidRPr="00FF7918">
        <w:t xml:space="preserve"> approximately 0.993. The </w:t>
      </w:r>
      <w:r w:rsidRPr="009414DC">
        <w:rPr>
          <w:b/>
          <w:bCs/>
        </w:rPr>
        <w:t>first 2 dimensions explained 83.64% of the variance</w:t>
      </w:r>
      <w:r w:rsidRPr="00FF7918">
        <w:t xml:space="preserve">, while subsequent dimensions capture additional variance. </w:t>
      </w:r>
      <w:r w:rsidR="009414DC">
        <w:t>‘</w:t>
      </w:r>
      <w:proofErr w:type="spellStart"/>
      <w:r w:rsidRPr="009414DC">
        <w:rPr>
          <w:b/>
          <w:bCs/>
        </w:rPr>
        <w:t>Avg_spend_miscellaneous_category</w:t>
      </w:r>
      <w:proofErr w:type="spellEnd"/>
      <w:r w:rsidR="009414DC">
        <w:t>’</w:t>
      </w:r>
      <w:r w:rsidRPr="00FF7918">
        <w:t xml:space="preserve"> holds the highest weight (0.8428), followed by </w:t>
      </w:r>
      <w:r w:rsidRPr="009414DC">
        <w:rPr>
          <w:b/>
          <w:bCs/>
        </w:rPr>
        <w:t>'</w:t>
      </w:r>
      <w:proofErr w:type="spellStart"/>
      <w:r w:rsidRPr="009414DC">
        <w:rPr>
          <w:b/>
          <w:bCs/>
        </w:rPr>
        <w:t>avg_spend_other_food_category</w:t>
      </w:r>
      <w:proofErr w:type="spellEnd"/>
      <w:r w:rsidRPr="00FF7918">
        <w:t xml:space="preserve">' (0.7915). </w:t>
      </w:r>
      <w:r w:rsidRPr="009414DC">
        <w:rPr>
          <w:b/>
          <w:bCs/>
        </w:rPr>
        <w:t>'</w:t>
      </w:r>
      <w:proofErr w:type="spellStart"/>
      <w:r w:rsidRPr="009414DC">
        <w:rPr>
          <w:b/>
          <w:bCs/>
        </w:rPr>
        <w:t>Num_of_unique_visits</w:t>
      </w:r>
      <w:proofErr w:type="spellEnd"/>
      <w:r w:rsidRPr="009414DC">
        <w:rPr>
          <w:b/>
          <w:bCs/>
        </w:rPr>
        <w:t>'</w:t>
      </w:r>
      <w:r w:rsidRPr="00FF7918">
        <w:t xml:space="preserve"> and </w:t>
      </w:r>
      <w:r w:rsidRPr="00F42E99">
        <w:rPr>
          <w:rStyle w:val="NoSpacingChar"/>
        </w:rPr>
        <w:t>'</w:t>
      </w:r>
      <w:proofErr w:type="spellStart"/>
      <w:r w:rsidRPr="00F42E99">
        <w:rPr>
          <w:rStyle w:val="NoSpacingChar"/>
        </w:rPr>
        <w:t>avg_spend_veg_category</w:t>
      </w:r>
      <w:proofErr w:type="spellEnd"/>
      <w:r w:rsidRPr="00F42E99">
        <w:rPr>
          <w:rStyle w:val="NoSpacingChar"/>
        </w:rPr>
        <w:t xml:space="preserve">' rank closely with weights of 0.68 and 0.67, respectively. These features aggregate </w:t>
      </w:r>
      <w:r w:rsidR="00D73FE0" w:rsidRPr="00F42E99">
        <w:rPr>
          <w:rStyle w:val="NoSpacingChar"/>
        </w:rPr>
        <w:t>the top</w:t>
      </w:r>
      <w:r w:rsidRPr="00F42E99">
        <w:rPr>
          <w:rStyle w:val="NoSpacingChar"/>
        </w:rPr>
        <w:t xml:space="preserve"> categories</w:t>
      </w:r>
      <w:r w:rsidRPr="00FF7918">
        <w:t xml:space="preserve"> like 'tobacco', </w:t>
      </w:r>
      <w:r w:rsidRPr="00FF7918">
        <w:lastRenderedPageBreak/>
        <w:t>'confectionary', 'meat', '</w:t>
      </w:r>
      <w:proofErr w:type="spellStart"/>
      <w:r w:rsidRPr="00FF7918">
        <w:t>fruit_veg</w:t>
      </w:r>
      <w:proofErr w:type="spellEnd"/>
      <w:r w:rsidRPr="00FF7918">
        <w:t>', 'dairy', '</w:t>
      </w:r>
      <w:proofErr w:type="spellStart"/>
      <w:r w:rsidRPr="00FF7918">
        <w:t>grocery_food</w:t>
      </w:r>
      <w:proofErr w:type="spellEnd"/>
      <w:r w:rsidRPr="00FF7918">
        <w:t xml:space="preserve">', </w:t>
      </w:r>
      <w:r w:rsidR="00D73FE0" w:rsidRPr="00FF7918">
        <w:rPr>
          <w:noProof/>
        </w:rPr>
        <w:drawing>
          <wp:anchor distT="0" distB="0" distL="114300" distR="114300" simplePos="0" relativeHeight="251670528" behindDoc="0" locked="0" layoutInCell="1" allowOverlap="1" wp14:anchorId="279FB8AA" wp14:editId="1AFE3A4B">
            <wp:simplePos x="0" y="0"/>
            <wp:positionH relativeFrom="column">
              <wp:posOffset>-50800</wp:posOffset>
            </wp:positionH>
            <wp:positionV relativeFrom="paragraph">
              <wp:posOffset>469900</wp:posOffset>
            </wp:positionV>
            <wp:extent cx="6188710" cy="2432050"/>
            <wp:effectExtent l="0" t="0" r="2540" b="6350"/>
            <wp:wrapSquare wrapText="bothSides"/>
            <wp:docPr id="184766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63194"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2432050"/>
                    </a:xfrm>
                    <a:prstGeom prst="rect">
                      <a:avLst/>
                    </a:prstGeom>
                  </pic:spPr>
                </pic:pic>
              </a:graphicData>
            </a:graphic>
            <wp14:sizeRelV relativeFrom="margin">
              <wp14:pctHeight>0</wp14:pctHeight>
            </wp14:sizeRelV>
          </wp:anchor>
        </w:drawing>
      </w:r>
      <w:r w:rsidRPr="00FF7918">
        <w:t>'</w:t>
      </w:r>
      <w:proofErr w:type="spellStart"/>
      <w:r w:rsidRPr="00FF7918">
        <w:t>grocery_health_pets</w:t>
      </w:r>
      <w:proofErr w:type="spellEnd"/>
      <w:r w:rsidRPr="00FF7918">
        <w:t xml:space="preserve">', and 'cashpoint' with their quantities. </w:t>
      </w:r>
    </w:p>
    <w:p w14:paraId="285AEDEF" w14:textId="49F4A92C" w:rsidR="00271652" w:rsidRPr="00FF7918" w:rsidRDefault="00271652" w:rsidP="00271652">
      <w:pPr>
        <w:pStyle w:val="ListParagraph"/>
        <w:numPr>
          <w:ilvl w:val="0"/>
          <w:numId w:val="1"/>
        </w:numPr>
        <w:jc w:val="both"/>
        <w:rPr>
          <w:b/>
          <w:bCs/>
          <w:u w:val="single"/>
        </w:rPr>
      </w:pPr>
      <w:r w:rsidRPr="00FF7918">
        <w:rPr>
          <w:b/>
          <w:bCs/>
          <w:u w:val="single"/>
        </w:rPr>
        <w:t>Customer Base Summary:</w:t>
      </w:r>
    </w:p>
    <w:p w14:paraId="4366C0F7" w14:textId="77777777" w:rsidR="00271652" w:rsidRPr="00FF7918" w:rsidRDefault="00271652" w:rsidP="00271652">
      <w:pPr>
        <w:jc w:val="both"/>
        <w:rPr>
          <w:lang w:eastAsia="en-IN"/>
        </w:rPr>
      </w:pPr>
      <w:r w:rsidRPr="00FF7918">
        <w:rPr>
          <w:lang w:eastAsia="en-IN"/>
        </w:rPr>
        <w:t>The initial analysis of the dataset reveals that customers with higher spending inclinations also have a higher propensity for acquiring larger quantities. Furthermore, people who visit the store more frequently, as measured by the number of baskets, tend to have more expenditure. Further analysis reveals that the 'Tobacco' category yields the highest revenue, surpassing £250,000, while 'Dairy' accounts for the highest sales volume. Notably, food-related categories dominate both revenue and quantity metrics.</w:t>
      </w:r>
    </w:p>
    <w:p w14:paraId="5805A716" w14:textId="77777777" w:rsidR="00271652" w:rsidRPr="00FF7918" w:rsidRDefault="00271652" w:rsidP="00271652">
      <w:pPr>
        <w:jc w:val="both"/>
        <w:rPr>
          <w:lang w:eastAsia="en-IN"/>
        </w:rPr>
      </w:pPr>
      <w:r w:rsidRPr="00FF7918">
        <w:rPr>
          <w:noProof/>
          <w:lang w:eastAsia="en-IN"/>
        </w:rPr>
        <w:drawing>
          <wp:inline distT="0" distB="0" distL="0" distR="0" wp14:anchorId="103D3E4A" wp14:editId="3515DF3F">
            <wp:extent cx="6188710" cy="1136650"/>
            <wp:effectExtent l="0" t="0" r="2540" b="6350"/>
            <wp:docPr id="163023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31515" name=""/>
                    <pic:cNvPicPr/>
                  </pic:nvPicPr>
                  <pic:blipFill>
                    <a:blip r:embed="rId11"/>
                    <a:stretch>
                      <a:fillRect/>
                    </a:stretch>
                  </pic:blipFill>
                  <pic:spPr>
                    <a:xfrm>
                      <a:off x="0" y="0"/>
                      <a:ext cx="6188710" cy="1136650"/>
                    </a:xfrm>
                    <a:prstGeom prst="rect">
                      <a:avLst/>
                    </a:prstGeom>
                  </pic:spPr>
                </pic:pic>
              </a:graphicData>
            </a:graphic>
          </wp:inline>
        </w:drawing>
      </w:r>
      <w:r w:rsidRPr="00FF7918">
        <w:rPr>
          <w:lang w:eastAsia="en-IN"/>
        </w:rPr>
        <w:t xml:space="preserve"> </w:t>
      </w:r>
    </w:p>
    <w:p w14:paraId="366E969F" w14:textId="2DC3D32E" w:rsidR="00271652" w:rsidRPr="00FF7918" w:rsidRDefault="00D73FE0" w:rsidP="00D73FE0">
      <w:pPr>
        <w:pStyle w:val="NoSpacing"/>
        <w:jc w:val="both"/>
      </w:pPr>
      <w:r w:rsidRPr="00FF7918">
        <w:rPr>
          <w:noProof/>
        </w:rPr>
        <w:drawing>
          <wp:anchor distT="0" distB="0" distL="114300" distR="114300" simplePos="0" relativeHeight="251666432" behindDoc="0" locked="0" layoutInCell="1" allowOverlap="1" wp14:anchorId="35CCF19E" wp14:editId="6D5BE176">
            <wp:simplePos x="0" y="0"/>
            <wp:positionH relativeFrom="column">
              <wp:posOffset>3321050</wp:posOffset>
            </wp:positionH>
            <wp:positionV relativeFrom="paragraph">
              <wp:posOffset>777875</wp:posOffset>
            </wp:positionV>
            <wp:extent cx="2914650" cy="1377950"/>
            <wp:effectExtent l="0" t="0" r="0" b="0"/>
            <wp:wrapSquare wrapText="bothSides"/>
            <wp:docPr id="29551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102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4650" cy="1377950"/>
                    </a:xfrm>
                    <a:prstGeom prst="rect">
                      <a:avLst/>
                    </a:prstGeom>
                  </pic:spPr>
                </pic:pic>
              </a:graphicData>
            </a:graphic>
            <wp14:sizeRelH relativeFrom="margin">
              <wp14:pctWidth>0</wp14:pctWidth>
            </wp14:sizeRelH>
            <wp14:sizeRelV relativeFrom="margin">
              <wp14:pctHeight>0</wp14:pctHeight>
            </wp14:sizeRelV>
          </wp:anchor>
        </w:drawing>
      </w:r>
      <w:r w:rsidRPr="00FF7918">
        <w:rPr>
          <w:noProof/>
        </w:rPr>
        <w:drawing>
          <wp:anchor distT="0" distB="0" distL="114300" distR="114300" simplePos="0" relativeHeight="251665408" behindDoc="0" locked="0" layoutInCell="1" allowOverlap="1" wp14:anchorId="3D3B6558" wp14:editId="49AB5853">
            <wp:simplePos x="0" y="0"/>
            <wp:positionH relativeFrom="column">
              <wp:posOffset>-31750</wp:posOffset>
            </wp:positionH>
            <wp:positionV relativeFrom="paragraph">
              <wp:posOffset>765175</wp:posOffset>
            </wp:positionV>
            <wp:extent cx="3295650" cy="1390650"/>
            <wp:effectExtent l="0" t="0" r="0" b="0"/>
            <wp:wrapSquare wrapText="bothSides"/>
            <wp:docPr id="72747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72463"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390650"/>
                    </a:xfrm>
                    <a:prstGeom prst="rect">
                      <a:avLst/>
                    </a:prstGeom>
                  </pic:spPr>
                </pic:pic>
              </a:graphicData>
            </a:graphic>
            <wp14:sizeRelH relativeFrom="margin">
              <wp14:pctWidth>0</wp14:pctWidth>
            </wp14:sizeRelH>
            <wp14:sizeRelV relativeFrom="margin">
              <wp14:pctHeight>0</wp14:pctHeight>
            </wp14:sizeRelV>
          </wp:anchor>
        </w:drawing>
      </w:r>
      <w:r w:rsidR="00271652" w:rsidRPr="00FF7918">
        <w:rPr>
          <w:lang w:eastAsia="en-IN"/>
        </w:rPr>
        <w:t xml:space="preserve">If we explore market share by category, healthy vegetarian foods take the lead with 34%, followed by miscellaneous, which includes tobacco, confectionery, cashpoints, </w:t>
      </w:r>
      <w:r w:rsidR="002F3B70" w:rsidRPr="00FF7918">
        <w:rPr>
          <w:lang w:eastAsia="en-IN"/>
        </w:rPr>
        <w:t>etc.</w:t>
      </w:r>
      <w:r w:rsidR="00271652" w:rsidRPr="00FF7918">
        <w:rPr>
          <w:lang w:eastAsia="en-IN"/>
        </w:rPr>
        <w:t xml:space="preserve"> categories.</w:t>
      </w:r>
      <w:r w:rsidR="0035417D" w:rsidRPr="00FF7918">
        <w:t xml:space="preserve"> </w:t>
      </w:r>
      <w:r w:rsidR="00271652" w:rsidRPr="00FF7918">
        <w:t>RFM analysis was performed on the data, and it was discovered that consumers with low recency between 0 and 25 days</w:t>
      </w:r>
      <w:r w:rsidR="002F3B70" w:rsidRPr="00FF7918">
        <w:t xml:space="preserve"> </w:t>
      </w:r>
      <w:r w:rsidR="00271652" w:rsidRPr="00FF7918">
        <w:t xml:space="preserve">offered higher monetary value than those purchasing after a recency of 25 days. </w:t>
      </w:r>
    </w:p>
    <w:p w14:paraId="4B952934" w14:textId="607A83D8" w:rsidR="00271652" w:rsidRPr="00FF7918" w:rsidRDefault="00271652" w:rsidP="00D73FE0">
      <w:pPr>
        <w:pStyle w:val="NoSpacing"/>
        <w:jc w:val="both"/>
      </w:pPr>
      <w:r w:rsidRPr="00FF7918">
        <w:t>As per the above findings, it appears that the store has positioned itself to accommodate both health-conscious clients and those looking for tobacco, confectionery, bakery</w:t>
      </w:r>
      <w:r w:rsidR="00E81461" w:rsidRPr="00FF7918">
        <w:t>,</w:t>
      </w:r>
      <w:r w:rsidRPr="00FF7918">
        <w:t xml:space="preserve"> etc. items. The inclination of customers towards healthy food suggests that customers prioritize health-conscious choices and are willing to invest in</w:t>
      </w:r>
      <w:r w:rsidR="002F3B70" w:rsidRPr="00FF7918">
        <w:t xml:space="preserve"> </w:t>
      </w:r>
      <w:r w:rsidRPr="00FF7918">
        <w:t>products that support their well-being. Thus, there is a strong potential to capitalize on this trend even further by extending the store's variety of healthy and organic food products and aggressively marketing them.</w:t>
      </w:r>
    </w:p>
    <w:p w14:paraId="1C717096" w14:textId="4A504EC9" w:rsidR="00E81461" w:rsidRPr="00FF7918" w:rsidRDefault="00271652" w:rsidP="00E81461">
      <w:pPr>
        <w:pStyle w:val="NoSpacing"/>
        <w:jc w:val="both"/>
      </w:pPr>
      <w:r w:rsidRPr="00FF7918">
        <w:t>Exploring consumer feedback channels and creating loyalty programs may further improve customer engagement and retention</w:t>
      </w:r>
      <w:r w:rsidR="00D73FE0" w:rsidRPr="00FF7918">
        <w:t>.</w:t>
      </w:r>
    </w:p>
    <w:p w14:paraId="02B6D80F" w14:textId="41C8ABE7" w:rsidR="00271652" w:rsidRPr="00FF7918" w:rsidRDefault="00271652" w:rsidP="00271652">
      <w:pPr>
        <w:pStyle w:val="ListParagraph"/>
        <w:numPr>
          <w:ilvl w:val="0"/>
          <w:numId w:val="1"/>
        </w:numPr>
        <w:jc w:val="both"/>
        <w:rPr>
          <w:b/>
          <w:bCs/>
          <w:u w:val="single"/>
          <w:lang w:eastAsia="en-IN"/>
        </w:rPr>
      </w:pPr>
      <w:r w:rsidRPr="00FF7918">
        <w:rPr>
          <w:b/>
          <w:bCs/>
          <w:u w:val="single"/>
        </w:rPr>
        <w:lastRenderedPageBreak/>
        <w:t>Segmentation Methodology</w:t>
      </w:r>
    </w:p>
    <w:p w14:paraId="3B8B6754" w14:textId="44043E28" w:rsidR="00271652" w:rsidRPr="00FF7918" w:rsidRDefault="00271652" w:rsidP="00E81461">
      <w:pPr>
        <w:pStyle w:val="NoSpacing"/>
        <w:jc w:val="both"/>
      </w:pPr>
      <w:r w:rsidRPr="00FF7918">
        <w:t xml:space="preserve">The combined file dataset comprised of 46 distinct features, including spending across different categories, quantities purchased, visit frequencies, average spend per basket, and average quantity produced. </w:t>
      </w:r>
      <w:r w:rsidR="002F3B70" w:rsidRPr="00FF7918">
        <w:t>Initially</w:t>
      </w:r>
      <w:r w:rsidRPr="00FF7918">
        <w:t>, the features were carefully aggregated based on their importance and correlations, which brought the dataset finally with 9 unique features. Further, to address the challenge of high dimensionality, we applied Principal Component Analysis (PCA) for dimensionality reduction. Before conducting PCA, the features were log-transformed to ensure normal distribution, a preprocessing step essential for subsequent analysis.</w:t>
      </w:r>
    </w:p>
    <w:p w14:paraId="514E9C80" w14:textId="77777777" w:rsidR="00E81461" w:rsidRPr="00FF7918" w:rsidRDefault="00E81461" w:rsidP="00E81461">
      <w:pPr>
        <w:pStyle w:val="NoSpacing"/>
        <w:jc w:val="both"/>
        <w:rPr>
          <w:b/>
          <w:bCs/>
          <w:u w:val="single"/>
          <w:lang w:eastAsia="en-IN"/>
        </w:rPr>
      </w:pPr>
    </w:p>
    <w:p w14:paraId="6E07DDFA" w14:textId="71D14B90" w:rsidR="00271652" w:rsidRPr="00FF7918" w:rsidRDefault="00271652" w:rsidP="00E81461">
      <w:pPr>
        <w:pStyle w:val="NoSpacing"/>
        <w:jc w:val="both"/>
      </w:pPr>
      <w:r w:rsidRPr="00FF7918">
        <w:t xml:space="preserve">Following PCA, we found that the initial 2 principal components explained approximately </w:t>
      </w:r>
      <w:r w:rsidRPr="009414DC">
        <w:rPr>
          <w:b/>
          <w:bCs/>
        </w:rPr>
        <w:t>83.</w:t>
      </w:r>
      <w:r w:rsidR="002F3B70" w:rsidRPr="009414DC">
        <w:rPr>
          <w:b/>
          <w:bCs/>
        </w:rPr>
        <w:t>6</w:t>
      </w:r>
      <w:r w:rsidRPr="009414DC">
        <w:rPr>
          <w:b/>
          <w:bCs/>
        </w:rPr>
        <w:t>4%</w:t>
      </w:r>
      <w:r w:rsidRPr="00FF7918">
        <w:t xml:space="preserve"> of the total variance in the dataset. This discovery led us to focus on these 2 components for further exploration, providing a more concise representation of the dataset while retaining a significant portion of its variance.</w:t>
      </w:r>
    </w:p>
    <w:p w14:paraId="7CDF479B" w14:textId="77777777" w:rsidR="00E81461" w:rsidRPr="00FF7918" w:rsidRDefault="00E81461" w:rsidP="00E81461">
      <w:pPr>
        <w:pStyle w:val="NoSpacing"/>
        <w:jc w:val="both"/>
      </w:pPr>
    </w:p>
    <w:p w14:paraId="3EDBB635" w14:textId="64958C25" w:rsidR="00271652" w:rsidRPr="00FF7918" w:rsidRDefault="00271652" w:rsidP="00E81461">
      <w:pPr>
        <w:pStyle w:val="NoSpacing"/>
        <w:jc w:val="both"/>
      </w:pPr>
      <w:r w:rsidRPr="00FF7918">
        <w:t xml:space="preserve">To determine the optimal number of clusters (k) for segmentation, we utilized the silhouette score metric, which measures the cohesion and separation of clusters. We systematically assessed silhouette scores for various values of k, ranging from 2 to 11. The </w:t>
      </w:r>
      <w:r w:rsidRPr="009414DC">
        <w:rPr>
          <w:b/>
          <w:bCs/>
        </w:rPr>
        <w:t>silhouette score peaked at the value of 0.35</w:t>
      </w:r>
      <w:r w:rsidR="009414DC" w:rsidRPr="009414DC">
        <w:rPr>
          <w:b/>
          <w:bCs/>
        </w:rPr>
        <w:t>7</w:t>
      </w:r>
      <w:r w:rsidRPr="00FF7918">
        <w:t xml:space="preserve"> at </w:t>
      </w:r>
      <w:r w:rsidRPr="004A13D7">
        <w:rPr>
          <w:b/>
          <w:bCs/>
        </w:rPr>
        <w:t>k = 6</w:t>
      </w:r>
      <w:r w:rsidRPr="00FF7918">
        <w:t xml:space="preserve"> as compared to higher values of k, indicating </w:t>
      </w:r>
      <w:proofErr w:type="spellStart"/>
      <w:r w:rsidRPr="00FF7918">
        <w:t>favorable</w:t>
      </w:r>
      <w:proofErr w:type="spellEnd"/>
      <w:r w:rsidRPr="00FF7918">
        <w:t xml:space="preserve"> clustering </w:t>
      </w:r>
      <w:proofErr w:type="spellStart"/>
      <w:r w:rsidRPr="00FF7918">
        <w:t>behavior</w:t>
      </w:r>
      <w:proofErr w:type="spellEnd"/>
      <w:r w:rsidRPr="00FF7918">
        <w:t xml:space="preserve"> and distinct separation into 6 groups.</w:t>
      </w:r>
    </w:p>
    <w:p w14:paraId="35850E68" w14:textId="77777777" w:rsidR="00E81461" w:rsidRPr="00FF7918" w:rsidRDefault="00E81461" w:rsidP="00E81461">
      <w:pPr>
        <w:pStyle w:val="NoSpacing"/>
        <w:jc w:val="both"/>
      </w:pPr>
    </w:p>
    <w:p w14:paraId="0DE9E8CC" w14:textId="119104C0" w:rsidR="00271652" w:rsidRPr="00FF7918" w:rsidRDefault="00271652" w:rsidP="00E81461">
      <w:pPr>
        <w:pStyle w:val="NoSpacing"/>
        <w:jc w:val="both"/>
      </w:pPr>
      <w:r w:rsidRPr="00FF7918">
        <w:t xml:space="preserve">With the optimal k value established, we applied the </w:t>
      </w:r>
      <w:proofErr w:type="spellStart"/>
      <w:r w:rsidRPr="00FF7918">
        <w:t>KMeans</w:t>
      </w:r>
      <w:proofErr w:type="spellEnd"/>
      <w:r w:rsidRPr="00FF7918">
        <w:t xml:space="preserve"> clustering algorithm to segment the data into 6 distinct clusters. </w:t>
      </w:r>
      <w:r w:rsidR="002F3B70" w:rsidRPr="00FF7918">
        <w:t>Further</w:t>
      </w:r>
      <w:r w:rsidRPr="00FF7918">
        <w:t xml:space="preserve">, we utilized PCA inverse to </w:t>
      </w:r>
      <w:proofErr w:type="spellStart"/>
      <w:r w:rsidRPr="00FF7918">
        <w:t>analyze</w:t>
      </w:r>
      <w:proofErr w:type="spellEnd"/>
      <w:r w:rsidRPr="00FF7918">
        <w:t xml:space="preserve"> the impact of each feature dimension on the formed clusters, providing valuable insights into the characteristics and </w:t>
      </w:r>
      <w:proofErr w:type="spellStart"/>
      <w:r w:rsidRPr="00FF7918">
        <w:t>behaviors</w:t>
      </w:r>
      <w:proofErr w:type="spellEnd"/>
      <w:r w:rsidRPr="00FF7918">
        <w:t xml:space="preserve"> of each consumer segment</w:t>
      </w:r>
      <w:r w:rsidR="002F3B70" w:rsidRPr="00FF7918">
        <w:t>, and facilitating targeted insights and actionable recommendations.</w:t>
      </w:r>
    </w:p>
    <w:p w14:paraId="5ECCA16D" w14:textId="77777777" w:rsidR="00E81461" w:rsidRPr="00FF7918" w:rsidRDefault="00E81461" w:rsidP="00E81461">
      <w:pPr>
        <w:pStyle w:val="NoSpacing"/>
        <w:jc w:val="both"/>
      </w:pPr>
    </w:p>
    <w:p w14:paraId="61948FE8" w14:textId="77777777" w:rsidR="00271652" w:rsidRPr="00FF7918" w:rsidRDefault="00271652" w:rsidP="00E81461">
      <w:pPr>
        <w:pStyle w:val="NoSpacing"/>
        <w:jc w:val="both"/>
      </w:pPr>
      <w:r w:rsidRPr="00FF7918">
        <w:t xml:space="preserve">Overall, our approach involved comprehensive preprocessing, thoughtful dimensionality reduction, and systematic evaluation to uncover meaningful insights from the data. This resulted in a robust segmentation strategy that captures the diverse spending </w:t>
      </w:r>
      <w:proofErr w:type="spellStart"/>
      <w:r w:rsidRPr="00FF7918">
        <w:t>behaviors</w:t>
      </w:r>
      <w:proofErr w:type="spellEnd"/>
      <w:r w:rsidRPr="00FF7918">
        <w:t xml:space="preserve"> of consumers.</w:t>
      </w:r>
    </w:p>
    <w:p w14:paraId="6AE86E78" w14:textId="77777777" w:rsidR="00E81461" w:rsidRPr="00FF7918" w:rsidRDefault="00E81461" w:rsidP="00E81461">
      <w:pPr>
        <w:pStyle w:val="NoSpacing"/>
        <w:jc w:val="both"/>
      </w:pPr>
    </w:p>
    <w:p w14:paraId="5874E567" w14:textId="4FCD6689" w:rsidR="00271652" w:rsidRPr="00FF7918" w:rsidRDefault="00271652" w:rsidP="00271652">
      <w:pPr>
        <w:pStyle w:val="ListParagraph"/>
        <w:numPr>
          <w:ilvl w:val="0"/>
          <w:numId w:val="1"/>
        </w:numPr>
        <w:jc w:val="both"/>
        <w:rPr>
          <w:rFonts w:ascii="Segoe UI" w:hAnsi="Segoe UI" w:cs="Segoe UI"/>
          <w:b/>
          <w:bCs/>
          <w:color w:val="000000" w:themeColor="text1"/>
          <w:u w:val="single"/>
        </w:rPr>
      </w:pPr>
      <w:r w:rsidRPr="00FF7918">
        <w:rPr>
          <w:b/>
          <w:bCs/>
          <w:color w:val="000000" w:themeColor="text1"/>
          <w:u w:val="single"/>
        </w:rPr>
        <w:t>Results</w:t>
      </w:r>
    </w:p>
    <w:p w14:paraId="179179CF" w14:textId="77777777" w:rsidR="00271652" w:rsidRPr="00FF7918" w:rsidRDefault="00271652" w:rsidP="00271652">
      <w:pPr>
        <w:jc w:val="both"/>
        <w:rPr>
          <w:lang w:eastAsia="en-IN"/>
        </w:rPr>
      </w:pPr>
      <w:r w:rsidRPr="00FF7918">
        <w:rPr>
          <w:lang w:eastAsia="en-IN"/>
        </w:rPr>
        <w:t xml:space="preserve">The segmentation technique included both clustering and RFM analysis, resulting in six separate consumer groups. This comprehensive approach provides an in-depth insight into consumer </w:t>
      </w:r>
      <w:proofErr w:type="spellStart"/>
      <w:r w:rsidRPr="00FF7918">
        <w:rPr>
          <w:lang w:eastAsia="en-IN"/>
        </w:rPr>
        <w:t>behavior</w:t>
      </w:r>
      <w:proofErr w:type="spellEnd"/>
      <w:r w:rsidRPr="00FF7918">
        <w:rPr>
          <w:lang w:eastAsia="en-IN"/>
        </w:rPr>
        <w:t xml:space="preserve"> within each group, guiding tailored marketing strategies to engage with diverse customer preferences and habits effectively.</w:t>
      </w:r>
    </w:p>
    <w:p w14:paraId="29E7C95A" w14:textId="28F7642A" w:rsidR="00271652" w:rsidRPr="00FF7918" w:rsidRDefault="00271652" w:rsidP="00271652">
      <w:pPr>
        <w:jc w:val="both"/>
        <w:rPr>
          <w:lang w:eastAsia="en-IN"/>
        </w:rPr>
      </w:pPr>
      <w:r w:rsidRPr="00FF7918">
        <w:rPr>
          <w:b/>
          <w:bCs/>
          <w:lang w:eastAsia="en-IN"/>
        </w:rPr>
        <w:t xml:space="preserve">RFM </w:t>
      </w:r>
      <w:r w:rsidR="00E81461" w:rsidRPr="00FF7918">
        <w:rPr>
          <w:b/>
          <w:bCs/>
          <w:lang w:eastAsia="en-IN"/>
        </w:rPr>
        <w:t>analysis</w:t>
      </w:r>
      <w:r w:rsidRPr="00FF7918">
        <w:rPr>
          <w:b/>
          <w:bCs/>
          <w:lang w:eastAsia="en-IN"/>
        </w:rPr>
        <w:t xml:space="preserve"> results:</w:t>
      </w:r>
      <w:r w:rsidRPr="00FF7918">
        <w:rPr>
          <w:lang w:eastAsia="en-IN"/>
        </w:rPr>
        <w:t xml:space="preserve"> Considering the Recency, Frequency, and Monetary value of the customers, they are segregated into 6 </w:t>
      </w:r>
      <w:r w:rsidR="00E81461" w:rsidRPr="00FF7918">
        <w:rPr>
          <w:lang w:eastAsia="en-IN"/>
        </w:rPr>
        <w:t>segments</w:t>
      </w:r>
      <w:r w:rsidRPr="00FF7918">
        <w:rPr>
          <w:lang w:eastAsia="en-IN"/>
        </w:rPr>
        <w:t>:</w:t>
      </w:r>
    </w:p>
    <w:tbl>
      <w:tblPr>
        <w:tblStyle w:val="TableGrid"/>
        <w:tblW w:w="9715" w:type="dxa"/>
        <w:tblLook w:val="04A0" w:firstRow="1" w:lastRow="0" w:firstColumn="1" w:lastColumn="0" w:noHBand="0" w:noVBand="1"/>
      </w:tblPr>
      <w:tblGrid>
        <w:gridCol w:w="1337"/>
        <w:gridCol w:w="965"/>
        <w:gridCol w:w="1165"/>
        <w:gridCol w:w="1144"/>
        <w:gridCol w:w="1615"/>
        <w:gridCol w:w="3489"/>
      </w:tblGrid>
      <w:tr w:rsidR="00271652" w:rsidRPr="00FF7918" w14:paraId="5DED6C0C" w14:textId="77777777" w:rsidTr="00271652">
        <w:tc>
          <w:tcPr>
            <w:tcW w:w="1339" w:type="dxa"/>
          </w:tcPr>
          <w:p w14:paraId="3C244DAC" w14:textId="77777777" w:rsidR="00271652" w:rsidRPr="00FF7918" w:rsidRDefault="00271652" w:rsidP="0085295D">
            <w:pPr>
              <w:jc w:val="both"/>
              <w:rPr>
                <w:b/>
                <w:bCs/>
              </w:rPr>
            </w:pPr>
            <w:r w:rsidRPr="00FF7918">
              <w:rPr>
                <w:b/>
                <w:bCs/>
                <w:lang w:eastAsia="en-IN"/>
              </w:rPr>
              <w:t>Customer Segment</w:t>
            </w:r>
          </w:p>
        </w:tc>
        <w:tc>
          <w:tcPr>
            <w:tcW w:w="952" w:type="dxa"/>
          </w:tcPr>
          <w:p w14:paraId="57C4A05E" w14:textId="77777777" w:rsidR="00271652" w:rsidRPr="00FF7918" w:rsidRDefault="00271652" w:rsidP="0085295D">
            <w:pPr>
              <w:jc w:val="both"/>
              <w:rPr>
                <w:b/>
                <w:bCs/>
              </w:rPr>
            </w:pPr>
            <w:r w:rsidRPr="00FF7918">
              <w:rPr>
                <w:b/>
                <w:bCs/>
                <w:lang w:eastAsia="en-IN"/>
              </w:rPr>
              <w:t>Recency (days)</w:t>
            </w:r>
          </w:p>
        </w:tc>
        <w:tc>
          <w:tcPr>
            <w:tcW w:w="1150" w:type="dxa"/>
          </w:tcPr>
          <w:p w14:paraId="2D490AAB" w14:textId="77777777" w:rsidR="00271652" w:rsidRPr="00FF7918" w:rsidRDefault="00271652" w:rsidP="0085295D">
            <w:pPr>
              <w:jc w:val="both"/>
              <w:rPr>
                <w:b/>
                <w:bCs/>
              </w:rPr>
            </w:pPr>
            <w:r w:rsidRPr="00FF7918">
              <w:rPr>
                <w:b/>
                <w:bCs/>
                <w:lang w:eastAsia="en-IN"/>
              </w:rPr>
              <w:t>Frequency (visits)</w:t>
            </w:r>
          </w:p>
        </w:tc>
        <w:tc>
          <w:tcPr>
            <w:tcW w:w="1144" w:type="dxa"/>
            <w:vAlign w:val="bottom"/>
          </w:tcPr>
          <w:p w14:paraId="662B17C3" w14:textId="77777777" w:rsidR="00271652" w:rsidRPr="00FF7918" w:rsidRDefault="00271652" w:rsidP="0085295D">
            <w:pPr>
              <w:jc w:val="both"/>
              <w:rPr>
                <w:b/>
                <w:bCs/>
              </w:rPr>
            </w:pPr>
            <w:r w:rsidRPr="00FF7918">
              <w:rPr>
                <w:b/>
                <w:bCs/>
                <w:lang w:eastAsia="en-IN"/>
              </w:rPr>
              <w:t>Monetary Value (£)</w:t>
            </w:r>
          </w:p>
        </w:tc>
        <w:tc>
          <w:tcPr>
            <w:tcW w:w="1620" w:type="dxa"/>
          </w:tcPr>
          <w:p w14:paraId="1E3B8549" w14:textId="77777777" w:rsidR="00271652" w:rsidRPr="00FF7918" w:rsidRDefault="00271652" w:rsidP="0085295D">
            <w:pPr>
              <w:jc w:val="both"/>
              <w:rPr>
                <w:b/>
                <w:bCs/>
              </w:rPr>
            </w:pPr>
            <w:r w:rsidRPr="00FF7918">
              <w:rPr>
                <w:b/>
                <w:bCs/>
                <w:lang w:eastAsia="en-IN"/>
              </w:rPr>
              <w:t>Percentage of Customer Base</w:t>
            </w:r>
          </w:p>
        </w:tc>
        <w:tc>
          <w:tcPr>
            <w:tcW w:w="3510" w:type="dxa"/>
          </w:tcPr>
          <w:p w14:paraId="6C74F525" w14:textId="77777777" w:rsidR="00271652" w:rsidRPr="00FF7918" w:rsidRDefault="00271652" w:rsidP="0085295D">
            <w:pPr>
              <w:jc w:val="both"/>
              <w:rPr>
                <w:b/>
                <w:bCs/>
              </w:rPr>
            </w:pPr>
            <w:r w:rsidRPr="00FF7918">
              <w:rPr>
                <w:b/>
                <w:bCs/>
                <w:lang w:eastAsia="en-IN"/>
              </w:rPr>
              <w:t>Marketing Action</w:t>
            </w:r>
          </w:p>
        </w:tc>
      </w:tr>
      <w:tr w:rsidR="00271652" w:rsidRPr="00FF7918" w14:paraId="1DF55B01" w14:textId="77777777" w:rsidTr="00271652">
        <w:tc>
          <w:tcPr>
            <w:tcW w:w="1339" w:type="dxa"/>
          </w:tcPr>
          <w:p w14:paraId="7856FFDE" w14:textId="77777777" w:rsidR="00271652" w:rsidRPr="00FF7918" w:rsidRDefault="00271652" w:rsidP="0085295D">
            <w:pPr>
              <w:jc w:val="both"/>
            </w:pPr>
            <w:r w:rsidRPr="00FF7918">
              <w:rPr>
                <w:lang w:eastAsia="en-IN"/>
              </w:rPr>
              <w:t>VVIP Customers</w:t>
            </w:r>
          </w:p>
        </w:tc>
        <w:tc>
          <w:tcPr>
            <w:tcW w:w="952" w:type="dxa"/>
          </w:tcPr>
          <w:p w14:paraId="3CA2DCFD" w14:textId="77777777" w:rsidR="00271652" w:rsidRPr="00FF7918" w:rsidRDefault="00271652" w:rsidP="0085295D">
            <w:pPr>
              <w:jc w:val="both"/>
            </w:pPr>
            <w:r w:rsidRPr="00FF7918">
              <w:t>0.2</w:t>
            </w:r>
          </w:p>
        </w:tc>
        <w:tc>
          <w:tcPr>
            <w:tcW w:w="1150" w:type="dxa"/>
          </w:tcPr>
          <w:p w14:paraId="4F049AC5" w14:textId="77777777" w:rsidR="00271652" w:rsidRPr="00FF7918" w:rsidRDefault="00271652" w:rsidP="0085295D">
            <w:pPr>
              <w:jc w:val="both"/>
            </w:pPr>
            <w:r w:rsidRPr="00FF7918">
              <w:t>131.5</w:t>
            </w:r>
          </w:p>
        </w:tc>
        <w:tc>
          <w:tcPr>
            <w:tcW w:w="1144" w:type="dxa"/>
          </w:tcPr>
          <w:p w14:paraId="7EB24EA1" w14:textId="77777777" w:rsidR="00271652" w:rsidRPr="00FF7918" w:rsidRDefault="00271652" w:rsidP="0085295D">
            <w:pPr>
              <w:jc w:val="both"/>
            </w:pPr>
            <w:r w:rsidRPr="00FF7918">
              <w:t>1399.8</w:t>
            </w:r>
          </w:p>
        </w:tc>
        <w:tc>
          <w:tcPr>
            <w:tcW w:w="1620" w:type="dxa"/>
          </w:tcPr>
          <w:p w14:paraId="197F793E" w14:textId="4B61A182" w:rsidR="00271652" w:rsidRPr="00FF7918" w:rsidRDefault="00271652" w:rsidP="0085295D">
            <w:pPr>
              <w:jc w:val="both"/>
            </w:pPr>
            <w:r w:rsidRPr="00FF7918">
              <w:t>1</w:t>
            </w:r>
            <w:r w:rsidR="005629C0" w:rsidRPr="00FF7918">
              <w:t>8</w:t>
            </w:r>
            <w:r w:rsidRPr="00FF7918">
              <w:t>.</w:t>
            </w:r>
            <w:r w:rsidR="005629C0" w:rsidRPr="00FF7918">
              <w:t>7</w:t>
            </w:r>
            <w:r w:rsidRPr="00FF7918">
              <w:t>%</w:t>
            </w:r>
          </w:p>
        </w:tc>
        <w:tc>
          <w:tcPr>
            <w:tcW w:w="3510" w:type="dxa"/>
          </w:tcPr>
          <w:p w14:paraId="4A5AF1A6" w14:textId="77777777" w:rsidR="00271652" w:rsidRPr="00FF7918" w:rsidRDefault="00271652" w:rsidP="0085295D">
            <w:pPr>
              <w:jc w:val="both"/>
            </w:pPr>
            <w:r w:rsidRPr="00FF7918">
              <w:rPr>
                <w:lang w:eastAsia="en-IN"/>
              </w:rPr>
              <w:t>Exclusive offers, VIP events, Personalized experiences</w:t>
            </w:r>
          </w:p>
        </w:tc>
      </w:tr>
      <w:tr w:rsidR="00271652" w:rsidRPr="00FF7918" w14:paraId="32BD6F37" w14:textId="77777777" w:rsidTr="00271652">
        <w:tc>
          <w:tcPr>
            <w:tcW w:w="1339" w:type="dxa"/>
          </w:tcPr>
          <w:p w14:paraId="68B0E5D7" w14:textId="77777777" w:rsidR="00271652" w:rsidRPr="00FF7918" w:rsidRDefault="00271652" w:rsidP="0085295D">
            <w:pPr>
              <w:jc w:val="both"/>
            </w:pPr>
            <w:r w:rsidRPr="00FF7918">
              <w:rPr>
                <w:lang w:eastAsia="en-IN"/>
              </w:rPr>
              <w:t>Platinum Customers</w:t>
            </w:r>
          </w:p>
        </w:tc>
        <w:tc>
          <w:tcPr>
            <w:tcW w:w="952" w:type="dxa"/>
          </w:tcPr>
          <w:p w14:paraId="656E56F3" w14:textId="77777777" w:rsidR="00271652" w:rsidRPr="00FF7918" w:rsidRDefault="00271652" w:rsidP="0085295D">
            <w:pPr>
              <w:jc w:val="both"/>
            </w:pPr>
            <w:r w:rsidRPr="00FF7918">
              <w:t>0.9</w:t>
            </w:r>
          </w:p>
        </w:tc>
        <w:tc>
          <w:tcPr>
            <w:tcW w:w="1150" w:type="dxa"/>
          </w:tcPr>
          <w:p w14:paraId="550A8D0E" w14:textId="77777777" w:rsidR="00271652" w:rsidRPr="00FF7918" w:rsidRDefault="00271652" w:rsidP="0085295D">
            <w:pPr>
              <w:jc w:val="both"/>
            </w:pPr>
            <w:r w:rsidRPr="00FF7918">
              <w:t>87.5</w:t>
            </w:r>
          </w:p>
        </w:tc>
        <w:tc>
          <w:tcPr>
            <w:tcW w:w="1144" w:type="dxa"/>
          </w:tcPr>
          <w:p w14:paraId="10D237B1" w14:textId="77777777" w:rsidR="00271652" w:rsidRPr="00FF7918" w:rsidRDefault="00271652" w:rsidP="0085295D">
            <w:pPr>
              <w:jc w:val="both"/>
            </w:pPr>
            <w:r w:rsidRPr="00FF7918">
              <w:t>1011.1</w:t>
            </w:r>
          </w:p>
        </w:tc>
        <w:tc>
          <w:tcPr>
            <w:tcW w:w="1620" w:type="dxa"/>
          </w:tcPr>
          <w:p w14:paraId="6BAF4077" w14:textId="659E17C2" w:rsidR="00271652" w:rsidRPr="00FF7918" w:rsidRDefault="00271652" w:rsidP="0085295D">
            <w:pPr>
              <w:jc w:val="both"/>
            </w:pPr>
            <w:r w:rsidRPr="00FF7918">
              <w:t>10.</w:t>
            </w:r>
            <w:r w:rsidR="005629C0" w:rsidRPr="00FF7918">
              <w:t>2</w:t>
            </w:r>
            <w:r w:rsidRPr="00FF7918">
              <w:t>%</w:t>
            </w:r>
          </w:p>
        </w:tc>
        <w:tc>
          <w:tcPr>
            <w:tcW w:w="3510" w:type="dxa"/>
          </w:tcPr>
          <w:p w14:paraId="3D48F3CA" w14:textId="77777777" w:rsidR="00271652" w:rsidRPr="00FF7918" w:rsidRDefault="00271652" w:rsidP="0085295D">
            <w:pPr>
              <w:jc w:val="both"/>
              <w:rPr>
                <w:b/>
                <w:bCs/>
              </w:rPr>
            </w:pPr>
            <w:r w:rsidRPr="00FF7918">
              <w:rPr>
                <w:lang w:eastAsia="en-IN"/>
              </w:rPr>
              <w:t>Loyalty rewards, Upgrades, Cross-selling opportunities</w:t>
            </w:r>
          </w:p>
        </w:tc>
      </w:tr>
      <w:tr w:rsidR="00271652" w:rsidRPr="00FF7918" w14:paraId="62DE35DA" w14:textId="77777777" w:rsidTr="00271652">
        <w:tc>
          <w:tcPr>
            <w:tcW w:w="1339" w:type="dxa"/>
          </w:tcPr>
          <w:p w14:paraId="28605ADD" w14:textId="77777777" w:rsidR="00271652" w:rsidRPr="00FF7918" w:rsidRDefault="00271652" w:rsidP="0085295D">
            <w:pPr>
              <w:jc w:val="both"/>
            </w:pPr>
            <w:r w:rsidRPr="00FF7918">
              <w:rPr>
                <w:lang w:eastAsia="en-IN"/>
              </w:rPr>
              <w:t>Loyal Customers</w:t>
            </w:r>
          </w:p>
        </w:tc>
        <w:tc>
          <w:tcPr>
            <w:tcW w:w="952" w:type="dxa"/>
          </w:tcPr>
          <w:p w14:paraId="138A8783" w14:textId="77777777" w:rsidR="00271652" w:rsidRPr="00FF7918" w:rsidRDefault="00271652" w:rsidP="0085295D">
            <w:pPr>
              <w:jc w:val="both"/>
            </w:pPr>
            <w:r w:rsidRPr="00FF7918">
              <w:t>2.6</w:t>
            </w:r>
          </w:p>
        </w:tc>
        <w:tc>
          <w:tcPr>
            <w:tcW w:w="1150" w:type="dxa"/>
          </w:tcPr>
          <w:p w14:paraId="447D5B0C" w14:textId="77777777" w:rsidR="00271652" w:rsidRPr="00FF7918" w:rsidRDefault="00271652" w:rsidP="0085295D">
            <w:pPr>
              <w:jc w:val="both"/>
            </w:pPr>
            <w:r w:rsidRPr="00FF7918">
              <w:t>64.8</w:t>
            </w:r>
          </w:p>
        </w:tc>
        <w:tc>
          <w:tcPr>
            <w:tcW w:w="1144" w:type="dxa"/>
          </w:tcPr>
          <w:p w14:paraId="181AA684" w14:textId="77777777" w:rsidR="00271652" w:rsidRPr="00FF7918" w:rsidRDefault="00271652" w:rsidP="0085295D">
            <w:pPr>
              <w:jc w:val="both"/>
            </w:pPr>
            <w:r w:rsidRPr="00FF7918">
              <w:t>800.8</w:t>
            </w:r>
          </w:p>
        </w:tc>
        <w:tc>
          <w:tcPr>
            <w:tcW w:w="1620" w:type="dxa"/>
          </w:tcPr>
          <w:p w14:paraId="5172D08C" w14:textId="5DF69293" w:rsidR="00271652" w:rsidRPr="00FF7918" w:rsidRDefault="00271652" w:rsidP="0085295D">
            <w:pPr>
              <w:jc w:val="both"/>
            </w:pPr>
            <w:r w:rsidRPr="00FF7918">
              <w:t>2</w:t>
            </w:r>
            <w:r w:rsidR="005629C0" w:rsidRPr="00FF7918">
              <w:t>4</w:t>
            </w:r>
            <w:r w:rsidRPr="00FF7918">
              <w:t>.</w:t>
            </w:r>
            <w:r w:rsidR="005629C0" w:rsidRPr="00FF7918">
              <w:t>7</w:t>
            </w:r>
            <w:r w:rsidRPr="00FF7918">
              <w:t>%</w:t>
            </w:r>
          </w:p>
        </w:tc>
        <w:tc>
          <w:tcPr>
            <w:tcW w:w="3510" w:type="dxa"/>
          </w:tcPr>
          <w:p w14:paraId="3CB76659" w14:textId="77777777" w:rsidR="00271652" w:rsidRPr="00FF7918" w:rsidRDefault="00271652" w:rsidP="0085295D">
            <w:pPr>
              <w:jc w:val="both"/>
            </w:pPr>
            <w:r w:rsidRPr="00FF7918">
              <w:rPr>
                <w:lang w:eastAsia="en-IN"/>
              </w:rPr>
              <w:t>Loyalty programs, Referral incentives, Surprise gifts</w:t>
            </w:r>
          </w:p>
        </w:tc>
      </w:tr>
      <w:tr w:rsidR="00271652" w:rsidRPr="00FF7918" w14:paraId="16130ECE" w14:textId="77777777" w:rsidTr="00271652">
        <w:tc>
          <w:tcPr>
            <w:tcW w:w="1339" w:type="dxa"/>
          </w:tcPr>
          <w:p w14:paraId="01C4DE04" w14:textId="77777777" w:rsidR="00271652" w:rsidRPr="00FF7918" w:rsidRDefault="00271652" w:rsidP="0085295D">
            <w:pPr>
              <w:jc w:val="both"/>
            </w:pPr>
            <w:r w:rsidRPr="00FF7918">
              <w:rPr>
                <w:lang w:eastAsia="en-IN"/>
              </w:rPr>
              <w:t>Need Attention Customers</w:t>
            </w:r>
          </w:p>
        </w:tc>
        <w:tc>
          <w:tcPr>
            <w:tcW w:w="952" w:type="dxa"/>
          </w:tcPr>
          <w:p w14:paraId="7885EF8E" w14:textId="77777777" w:rsidR="00271652" w:rsidRPr="00FF7918" w:rsidRDefault="00271652" w:rsidP="0085295D">
            <w:pPr>
              <w:jc w:val="both"/>
            </w:pPr>
            <w:r w:rsidRPr="00FF7918">
              <w:t>5.9</w:t>
            </w:r>
          </w:p>
        </w:tc>
        <w:tc>
          <w:tcPr>
            <w:tcW w:w="1150" w:type="dxa"/>
          </w:tcPr>
          <w:p w14:paraId="45440BF4" w14:textId="77777777" w:rsidR="00271652" w:rsidRPr="00FF7918" w:rsidRDefault="00271652" w:rsidP="0085295D">
            <w:pPr>
              <w:jc w:val="both"/>
            </w:pPr>
            <w:r w:rsidRPr="00FF7918">
              <w:t>43.6</w:t>
            </w:r>
          </w:p>
        </w:tc>
        <w:tc>
          <w:tcPr>
            <w:tcW w:w="1144" w:type="dxa"/>
          </w:tcPr>
          <w:p w14:paraId="5E8B79AA" w14:textId="77777777" w:rsidR="00271652" w:rsidRPr="00FF7918" w:rsidRDefault="00271652" w:rsidP="0085295D">
            <w:pPr>
              <w:jc w:val="both"/>
            </w:pPr>
            <w:r w:rsidRPr="00FF7918">
              <w:t>567.3</w:t>
            </w:r>
          </w:p>
        </w:tc>
        <w:tc>
          <w:tcPr>
            <w:tcW w:w="1620" w:type="dxa"/>
          </w:tcPr>
          <w:p w14:paraId="27C7496C" w14:textId="26F050D4" w:rsidR="00271652" w:rsidRPr="00FF7918" w:rsidRDefault="00271652" w:rsidP="0085295D">
            <w:pPr>
              <w:jc w:val="both"/>
            </w:pPr>
            <w:r w:rsidRPr="00FF7918">
              <w:t>22</w:t>
            </w:r>
            <w:r w:rsidR="005629C0" w:rsidRPr="00FF7918">
              <w:t>.2</w:t>
            </w:r>
            <w:r w:rsidRPr="00FF7918">
              <w:t>%</w:t>
            </w:r>
          </w:p>
        </w:tc>
        <w:tc>
          <w:tcPr>
            <w:tcW w:w="3510" w:type="dxa"/>
          </w:tcPr>
          <w:p w14:paraId="235885D5" w14:textId="77777777" w:rsidR="00271652" w:rsidRPr="00FF7918" w:rsidRDefault="00271652" w:rsidP="0085295D">
            <w:pPr>
              <w:jc w:val="both"/>
            </w:pPr>
            <w:r w:rsidRPr="00FF7918">
              <w:rPr>
                <w:lang w:eastAsia="en-IN"/>
              </w:rPr>
              <w:t>Re-engagement campaigns, Personalized recommendations</w:t>
            </w:r>
          </w:p>
        </w:tc>
      </w:tr>
      <w:tr w:rsidR="00271652" w:rsidRPr="00FF7918" w14:paraId="278E175B" w14:textId="77777777" w:rsidTr="00271652">
        <w:tc>
          <w:tcPr>
            <w:tcW w:w="1339" w:type="dxa"/>
          </w:tcPr>
          <w:p w14:paraId="742BA0D1" w14:textId="77777777" w:rsidR="00271652" w:rsidRPr="00FF7918" w:rsidRDefault="00271652" w:rsidP="0085295D">
            <w:pPr>
              <w:jc w:val="both"/>
            </w:pPr>
            <w:r w:rsidRPr="00FF7918">
              <w:rPr>
                <w:lang w:eastAsia="en-IN"/>
              </w:rPr>
              <w:t>At Risk Customers</w:t>
            </w:r>
          </w:p>
        </w:tc>
        <w:tc>
          <w:tcPr>
            <w:tcW w:w="952" w:type="dxa"/>
          </w:tcPr>
          <w:p w14:paraId="48C563AB" w14:textId="77777777" w:rsidR="00271652" w:rsidRPr="00FF7918" w:rsidRDefault="00271652" w:rsidP="0085295D">
            <w:pPr>
              <w:jc w:val="both"/>
            </w:pPr>
            <w:r w:rsidRPr="00FF7918">
              <w:t>13.3</w:t>
            </w:r>
          </w:p>
        </w:tc>
        <w:tc>
          <w:tcPr>
            <w:tcW w:w="1150" w:type="dxa"/>
          </w:tcPr>
          <w:p w14:paraId="578D66C5" w14:textId="77777777" w:rsidR="00271652" w:rsidRPr="00FF7918" w:rsidRDefault="00271652" w:rsidP="0085295D">
            <w:pPr>
              <w:jc w:val="both"/>
            </w:pPr>
            <w:r w:rsidRPr="00FF7918">
              <w:t>29.7</w:t>
            </w:r>
          </w:p>
        </w:tc>
        <w:tc>
          <w:tcPr>
            <w:tcW w:w="1144" w:type="dxa"/>
          </w:tcPr>
          <w:p w14:paraId="66AC70A0" w14:textId="77777777" w:rsidR="00271652" w:rsidRPr="00FF7918" w:rsidRDefault="00271652" w:rsidP="0085295D">
            <w:pPr>
              <w:jc w:val="both"/>
            </w:pPr>
            <w:r w:rsidRPr="00FF7918">
              <w:t>403.6</w:t>
            </w:r>
          </w:p>
        </w:tc>
        <w:tc>
          <w:tcPr>
            <w:tcW w:w="1620" w:type="dxa"/>
          </w:tcPr>
          <w:p w14:paraId="00699AE5" w14:textId="0B63B16B" w:rsidR="00271652" w:rsidRPr="00FF7918" w:rsidRDefault="00271652" w:rsidP="0085295D">
            <w:pPr>
              <w:jc w:val="both"/>
            </w:pPr>
            <w:r w:rsidRPr="00FF7918">
              <w:t>15</w:t>
            </w:r>
            <w:r w:rsidR="005629C0" w:rsidRPr="00FF7918">
              <w:t>.9</w:t>
            </w:r>
            <w:r w:rsidRPr="00FF7918">
              <w:t>%</w:t>
            </w:r>
          </w:p>
        </w:tc>
        <w:tc>
          <w:tcPr>
            <w:tcW w:w="3510" w:type="dxa"/>
          </w:tcPr>
          <w:p w14:paraId="6E6804D3" w14:textId="77777777" w:rsidR="00271652" w:rsidRPr="00FF7918" w:rsidRDefault="00271652" w:rsidP="0085295D">
            <w:pPr>
              <w:jc w:val="both"/>
            </w:pPr>
            <w:r w:rsidRPr="00FF7918">
              <w:rPr>
                <w:lang w:eastAsia="en-IN"/>
              </w:rPr>
              <w:t>Win-back promotions, Targeted discounts, Feedback requests</w:t>
            </w:r>
          </w:p>
        </w:tc>
      </w:tr>
      <w:tr w:rsidR="00271652" w:rsidRPr="00FF7918" w14:paraId="568703C5" w14:textId="77777777" w:rsidTr="00271652">
        <w:trPr>
          <w:trHeight w:val="296"/>
        </w:trPr>
        <w:tc>
          <w:tcPr>
            <w:tcW w:w="1339" w:type="dxa"/>
          </w:tcPr>
          <w:p w14:paraId="1122B3EF" w14:textId="77777777" w:rsidR="00271652" w:rsidRPr="00FF7918" w:rsidRDefault="00271652" w:rsidP="0085295D">
            <w:pPr>
              <w:jc w:val="both"/>
            </w:pPr>
            <w:r w:rsidRPr="00FF7918">
              <w:rPr>
                <w:lang w:eastAsia="en-IN"/>
              </w:rPr>
              <w:t>Lost Customers</w:t>
            </w:r>
          </w:p>
        </w:tc>
        <w:tc>
          <w:tcPr>
            <w:tcW w:w="952" w:type="dxa"/>
          </w:tcPr>
          <w:p w14:paraId="7B5DA24D" w14:textId="77777777" w:rsidR="00271652" w:rsidRPr="00FF7918" w:rsidRDefault="00271652" w:rsidP="0085295D">
            <w:pPr>
              <w:jc w:val="both"/>
            </w:pPr>
            <w:r w:rsidRPr="00FF7918">
              <w:t>46.8</w:t>
            </w:r>
          </w:p>
        </w:tc>
        <w:tc>
          <w:tcPr>
            <w:tcW w:w="1150" w:type="dxa"/>
          </w:tcPr>
          <w:p w14:paraId="522852F1" w14:textId="77777777" w:rsidR="00271652" w:rsidRPr="00FF7918" w:rsidRDefault="00271652" w:rsidP="0085295D">
            <w:pPr>
              <w:jc w:val="both"/>
            </w:pPr>
            <w:r w:rsidRPr="00FF7918">
              <w:t>16</w:t>
            </w:r>
          </w:p>
        </w:tc>
        <w:tc>
          <w:tcPr>
            <w:tcW w:w="1144" w:type="dxa"/>
          </w:tcPr>
          <w:p w14:paraId="7002C1D6" w14:textId="77777777" w:rsidR="00271652" w:rsidRPr="00FF7918" w:rsidRDefault="00271652" w:rsidP="0085295D">
            <w:pPr>
              <w:jc w:val="both"/>
            </w:pPr>
            <w:r w:rsidRPr="00FF7918">
              <w:t>209.6</w:t>
            </w:r>
          </w:p>
        </w:tc>
        <w:tc>
          <w:tcPr>
            <w:tcW w:w="1620" w:type="dxa"/>
          </w:tcPr>
          <w:p w14:paraId="34D32A3A" w14:textId="48148485" w:rsidR="00271652" w:rsidRPr="00FF7918" w:rsidRDefault="005629C0" w:rsidP="0085295D">
            <w:pPr>
              <w:jc w:val="both"/>
            </w:pPr>
            <w:r w:rsidRPr="00FF7918">
              <w:t>8.4</w:t>
            </w:r>
            <w:r w:rsidR="00271652" w:rsidRPr="00FF7918">
              <w:t>%</w:t>
            </w:r>
          </w:p>
        </w:tc>
        <w:tc>
          <w:tcPr>
            <w:tcW w:w="3510" w:type="dxa"/>
          </w:tcPr>
          <w:p w14:paraId="2407B3BC" w14:textId="77777777" w:rsidR="00271652" w:rsidRPr="00FF7918" w:rsidRDefault="00271652" w:rsidP="0085295D">
            <w:pPr>
              <w:jc w:val="both"/>
            </w:pPr>
            <w:r w:rsidRPr="00FF7918">
              <w:rPr>
                <w:lang w:eastAsia="en-IN"/>
              </w:rPr>
              <w:t>Reactivation campaigns, Customer surveys, Last chance offers</w:t>
            </w:r>
          </w:p>
        </w:tc>
      </w:tr>
    </w:tbl>
    <w:p w14:paraId="64A9ABF0" w14:textId="1C851C59" w:rsidR="00271652" w:rsidRPr="00FF7918" w:rsidRDefault="00271652" w:rsidP="00271652">
      <w:pPr>
        <w:jc w:val="both"/>
        <w:rPr>
          <w:b/>
          <w:bCs/>
        </w:rPr>
      </w:pPr>
      <w:r w:rsidRPr="00FF7918">
        <w:rPr>
          <w:b/>
          <w:bCs/>
        </w:rPr>
        <w:t xml:space="preserve">Considering the </w:t>
      </w:r>
      <w:proofErr w:type="spellStart"/>
      <w:r w:rsidR="006618F3" w:rsidRPr="00FF7918">
        <w:rPr>
          <w:b/>
          <w:bCs/>
        </w:rPr>
        <w:t>KMeans</w:t>
      </w:r>
      <w:proofErr w:type="spellEnd"/>
      <w:r w:rsidR="006618F3" w:rsidRPr="00FF7918">
        <w:rPr>
          <w:b/>
          <w:bCs/>
        </w:rPr>
        <w:t xml:space="preserve"> </w:t>
      </w:r>
      <w:r w:rsidRPr="00FF7918">
        <w:rPr>
          <w:b/>
          <w:bCs/>
        </w:rPr>
        <w:t>clustering analysis:</w:t>
      </w:r>
      <w:r w:rsidR="007C2343">
        <w:rPr>
          <w:b/>
          <w:bCs/>
        </w:rPr>
        <w:t xml:space="preserve"> </w:t>
      </w:r>
    </w:p>
    <w:p w14:paraId="3D4BD365" w14:textId="13B2504E" w:rsidR="00C417D7" w:rsidRPr="00FF7918" w:rsidRDefault="00C417D7" w:rsidP="00E81461">
      <w:pPr>
        <w:pStyle w:val="NoSpacing"/>
        <w:jc w:val="both"/>
      </w:pPr>
      <w:r w:rsidRPr="00FF7918">
        <w:rPr>
          <w:b/>
          <w:bCs/>
        </w:rPr>
        <w:lastRenderedPageBreak/>
        <w:t>Segment 1:</w:t>
      </w:r>
      <w:r w:rsidRPr="00FF7918">
        <w:t xml:space="preserve"> Within this segment, we have identified </w:t>
      </w:r>
      <w:r w:rsidRPr="00FF7918">
        <w:rPr>
          <w:b/>
          <w:bCs/>
        </w:rPr>
        <w:t>321</w:t>
      </w:r>
      <w:r w:rsidRPr="00FF7918">
        <w:t xml:space="preserve"> </w:t>
      </w:r>
      <w:r w:rsidRPr="00FF7918">
        <w:rPr>
          <w:b/>
          <w:bCs/>
        </w:rPr>
        <w:t>customers</w:t>
      </w:r>
      <w:r w:rsidRPr="00FF7918">
        <w:t xml:space="preserve"> who exhibit distinctive spending patterns. On average, these customers </w:t>
      </w:r>
      <w:r w:rsidRPr="004A13D7">
        <w:rPr>
          <w:b/>
          <w:bCs/>
        </w:rPr>
        <w:t>spend £570.03</w:t>
      </w:r>
      <w:r w:rsidRPr="00FF7918">
        <w:t xml:space="preserve"> and make approximately </w:t>
      </w:r>
      <w:r w:rsidRPr="00DB22D2">
        <w:rPr>
          <w:b/>
          <w:bCs/>
        </w:rPr>
        <w:t>44 visits</w:t>
      </w:r>
      <w:r w:rsidRPr="00FF7918">
        <w:t xml:space="preserve"> to our establishment. Their shopping baskets contain an average of 284.31 items overall, with each basket averaging £2.68 in spending across various categories. Interestingly, while they allocate £1.051 towards vegetarian food, their expenditure on other foods and miscellaneous categories amounts to approximately £1.69 and £4.579, respectively. Notably, the maximum average spend in the miscellaneous category stands at £97.2, </w:t>
      </w:r>
      <w:r w:rsidRPr="00BD1E04">
        <w:rPr>
          <w:b/>
          <w:bCs/>
        </w:rPr>
        <w:t>indicating a noteworthy inclination towards non-food items such as tobacco, newspapers, magazines, and confectionery.</w:t>
      </w:r>
      <w:r w:rsidRPr="00FF7918">
        <w:t xml:space="preserve"> Here, the total </w:t>
      </w:r>
      <w:proofErr w:type="gramStart"/>
      <w:r w:rsidRPr="00FF7918">
        <w:t>spend</w:t>
      </w:r>
      <w:proofErr w:type="gramEnd"/>
      <w:r w:rsidRPr="00FF7918">
        <w:t xml:space="preserve"> ranges between £238.94 and £2407.45, </w:t>
      </w:r>
      <w:proofErr w:type="spellStart"/>
      <w:r w:rsidRPr="00FF7918">
        <w:t>signaling</w:t>
      </w:r>
      <w:proofErr w:type="spellEnd"/>
      <w:r w:rsidRPr="00FF7918">
        <w:t xml:space="preserve"> a wide range of purchasing power. These customers would be considered as </w:t>
      </w:r>
      <w:r w:rsidR="00FF7918" w:rsidRPr="00FF7918">
        <w:rPr>
          <w:b/>
          <w:bCs/>
        </w:rPr>
        <w:t>‘</w:t>
      </w:r>
      <w:r w:rsidRPr="00FF7918">
        <w:rPr>
          <w:b/>
          <w:bCs/>
        </w:rPr>
        <w:t>Need Attention’</w:t>
      </w:r>
      <w:r w:rsidRPr="00FF7918">
        <w:t xml:space="preserve"> customers.</w:t>
      </w:r>
    </w:p>
    <w:p w14:paraId="72FE7703" w14:textId="77777777" w:rsidR="00E81461" w:rsidRPr="00FF7918" w:rsidRDefault="00E81461" w:rsidP="00E81461">
      <w:pPr>
        <w:pStyle w:val="NoSpacing"/>
        <w:jc w:val="both"/>
      </w:pPr>
    </w:p>
    <w:p w14:paraId="23E6AB60" w14:textId="5176E54D" w:rsidR="00C417D7" w:rsidRPr="00FF7918" w:rsidRDefault="00C417D7" w:rsidP="00E81461">
      <w:pPr>
        <w:pStyle w:val="NoSpacing"/>
        <w:jc w:val="both"/>
      </w:pPr>
      <w:r w:rsidRPr="00FF7918">
        <w:rPr>
          <w:b/>
          <w:bCs/>
        </w:rPr>
        <w:t>Segment 2:</w:t>
      </w:r>
      <w:r w:rsidRPr="00FF7918">
        <w:t xml:space="preserve"> Comprising </w:t>
      </w:r>
      <w:r w:rsidRPr="00FF7918">
        <w:rPr>
          <w:b/>
          <w:bCs/>
        </w:rPr>
        <w:t>214</w:t>
      </w:r>
      <w:r w:rsidRPr="00FF7918">
        <w:t xml:space="preserve"> </w:t>
      </w:r>
      <w:r w:rsidRPr="00FF7918">
        <w:rPr>
          <w:b/>
          <w:bCs/>
        </w:rPr>
        <w:t>customers</w:t>
      </w:r>
      <w:r w:rsidRPr="00FF7918">
        <w:t xml:space="preserve">, this segment demonstrates distinct spending habits. On average, customers in this segment </w:t>
      </w:r>
      <w:r w:rsidRPr="004A13D7">
        <w:rPr>
          <w:b/>
          <w:bCs/>
        </w:rPr>
        <w:t>spend £162.57</w:t>
      </w:r>
      <w:r w:rsidRPr="00FF7918">
        <w:t xml:space="preserve"> and make around </w:t>
      </w:r>
      <w:r w:rsidRPr="004A13D7">
        <w:rPr>
          <w:b/>
          <w:bCs/>
        </w:rPr>
        <w:t>13 visits</w:t>
      </w:r>
      <w:r w:rsidRPr="00FF7918">
        <w:t xml:space="preserve"> to our establishment. They have purchased over 118 items in total, with an average basket spend of £1.77. Notably, they allocate £1.08 towards vegetarian food, £1.63 towards other foods, and £1.77 towards miscellaneous categories. The maximum average spend in the miscellaneous category is £11.5, while for vegetarian and other food is £2.325 and £5.87, </w:t>
      </w:r>
      <w:r w:rsidRPr="004A13D7">
        <w:rPr>
          <w:b/>
          <w:bCs/>
        </w:rPr>
        <w:t>indicating a mixed preference for different items</w:t>
      </w:r>
      <w:r w:rsidRPr="00FF7918">
        <w:t xml:space="preserve"> among this group. Here, the total </w:t>
      </w:r>
      <w:proofErr w:type="gramStart"/>
      <w:r w:rsidRPr="00FF7918">
        <w:t>spend</w:t>
      </w:r>
      <w:proofErr w:type="gramEnd"/>
      <w:r w:rsidRPr="00FF7918">
        <w:t xml:space="preserve"> ranges between £7.28 and £422.18, signifying </w:t>
      </w:r>
      <w:r w:rsidRPr="004A13D7">
        <w:rPr>
          <w:b/>
          <w:bCs/>
        </w:rPr>
        <w:t>a very low purchasing power</w:t>
      </w:r>
      <w:r w:rsidRPr="00FF7918">
        <w:t xml:space="preserve"> of customers. Considering purchasing power, these customers can be identified as </w:t>
      </w:r>
      <w:r w:rsidRPr="00FF7918">
        <w:rPr>
          <w:b/>
          <w:bCs/>
        </w:rPr>
        <w:t>‘Lost’</w:t>
      </w:r>
      <w:r w:rsidRPr="00FF7918">
        <w:t xml:space="preserve"> customers.</w:t>
      </w:r>
    </w:p>
    <w:p w14:paraId="13A18823" w14:textId="77777777" w:rsidR="00E81461" w:rsidRPr="00FF7918" w:rsidRDefault="00E81461" w:rsidP="00E81461">
      <w:pPr>
        <w:pStyle w:val="NoSpacing"/>
        <w:jc w:val="both"/>
      </w:pPr>
    </w:p>
    <w:p w14:paraId="0AEC8B3B" w14:textId="59479303" w:rsidR="00C417D7" w:rsidRPr="00FF7918" w:rsidRDefault="00C417D7" w:rsidP="00E81461">
      <w:pPr>
        <w:pStyle w:val="NoSpacing"/>
        <w:jc w:val="both"/>
      </w:pPr>
      <w:r w:rsidRPr="00FF7918">
        <w:rPr>
          <w:b/>
          <w:bCs/>
        </w:rPr>
        <w:t>Segment 3:</w:t>
      </w:r>
      <w:r w:rsidRPr="00FF7918">
        <w:t xml:space="preserve"> This segment encompasses </w:t>
      </w:r>
      <w:r w:rsidRPr="00FF7918">
        <w:rPr>
          <w:b/>
          <w:bCs/>
        </w:rPr>
        <w:t>376 customers</w:t>
      </w:r>
      <w:r w:rsidRPr="00FF7918">
        <w:t xml:space="preserve"> with an </w:t>
      </w:r>
      <w:r w:rsidRPr="004A13D7">
        <w:rPr>
          <w:b/>
          <w:bCs/>
        </w:rPr>
        <w:t>average</w:t>
      </w:r>
      <w:r w:rsidRPr="00FF7918">
        <w:t xml:space="preserve"> </w:t>
      </w:r>
      <w:r w:rsidRPr="004A13D7">
        <w:rPr>
          <w:b/>
          <w:bCs/>
        </w:rPr>
        <w:t>spend of £1214.75</w:t>
      </w:r>
      <w:r w:rsidRPr="00FF7918">
        <w:t xml:space="preserve">. These customers make approximately </w:t>
      </w:r>
      <w:r w:rsidRPr="004A13D7">
        <w:rPr>
          <w:b/>
          <w:bCs/>
        </w:rPr>
        <w:t>93.6 visits</w:t>
      </w:r>
      <w:r w:rsidRPr="00FF7918">
        <w:t xml:space="preserve"> and have purchased a mean total of 657 items overall. Their average basket spend across various categories is £2.29, with allocations of £1.01 towards vegetarian food, £1.586 towards other foods, and £3.29 towards miscellaneous categories. The maximum average spend in the miscellaneous category reaches £13.9, </w:t>
      </w:r>
      <w:r w:rsidRPr="004A13D7">
        <w:rPr>
          <w:b/>
          <w:bCs/>
        </w:rPr>
        <w:t>suggesting a preference for non-food items</w:t>
      </w:r>
      <w:r w:rsidRPr="00FF7918">
        <w:t xml:space="preserve">. Another important point is the minimum total spend here is £445.75 which is higher among the earlier segments with the highest spend being £3676.46. Based on this, these customers would likely fall under the </w:t>
      </w:r>
      <w:r w:rsidRPr="00FF7918">
        <w:rPr>
          <w:b/>
          <w:bCs/>
        </w:rPr>
        <w:t>‘Platinum’</w:t>
      </w:r>
      <w:r w:rsidRPr="00FF7918">
        <w:t xml:space="preserve"> category.</w:t>
      </w:r>
    </w:p>
    <w:p w14:paraId="420254DC" w14:textId="77777777" w:rsidR="00E81461" w:rsidRPr="00FF7918" w:rsidRDefault="00E81461" w:rsidP="00E81461">
      <w:pPr>
        <w:pStyle w:val="NoSpacing"/>
        <w:jc w:val="both"/>
      </w:pPr>
    </w:p>
    <w:p w14:paraId="13019CD9" w14:textId="654662A1" w:rsidR="00C417D7" w:rsidRPr="00FF7918" w:rsidRDefault="00C417D7" w:rsidP="00E81461">
      <w:pPr>
        <w:pStyle w:val="NoSpacing"/>
        <w:jc w:val="both"/>
      </w:pPr>
      <w:r w:rsidRPr="00FF7918">
        <w:rPr>
          <w:b/>
          <w:bCs/>
        </w:rPr>
        <w:t>Segment 4:</w:t>
      </w:r>
      <w:r w:rsidRPr="00FF7918">
        <w:t xml:space="preserve"> Consisting of </w:t>
      </w:r>
      <w:r w:rsidRPr="00FF7918">
        <w:rPr>
          <w:b/>
          <w:bCs/>
        </w:rPr>
        <w:t>484 customers</w:t>
      </w:r>
      <w:r w:rsidRPr="00FF7918">
        <w:t xml:space="preserve">, this segment exhibits an </w:t>
      </w:r>
      <w:r w:rsidRPr="004A13D7">
        <w:rPr>
          <w:b/>
          <w:bCs/>
        </w:rPr>
        <w:t>average</w:t>
      </w:r>
      <w:r w:rsidRPr="00FF7918">
        <w:t xml:space="preserve"> </w:t>
      </w:r>
      <w:r w:rsidRPr="004A13D7">
        <w:rPr>
          <w:b/>
          <w:bCs/>
        </w:rPr>
        <w:t>spend of £1473.92</w:t>
      </w:r>
      <w:r w:rsidRPr="00FF7918">
        <w:t xml:space="preserve">. Customers in this group make around </w:t>
      </w:r>
      <w:r w:rsidRPr="004A13D7">
        <w:rPr>
          <w:b/>
          <w:bCs/>
        </w:rPr>
        <w:t>130 visits</w:t>
      </w:r>
      <w:r w:rsidRPr="00FF7918">
        <w:t xml:space="preserve"> and purchase over 1212.10 items in total. With an average basket spend of £1.44, they allocate £0.95 towards vegetarian food, £1.382 towards other foods, and £1.343 towards miscellaneous categories. Notably, the maximum spend in other food categories is £4.38, along with £1.5 and £3.9 in vegetarian options and miscellaneous items, respectively indicating </w:t>
      </w:r>
      <w:r w:rsidRPr="004A13D7">
        <w:rPr>
          <w:b/>
          <w:bCs/>
        </w:rPr>
        <w:t>more preference for bakery, meat, prepared meals, and drinks</w:t>
      </w:r>
      <w:r w:rsidRPr="00FF7918">
        <w:t xml:space="preserve">. The minimum average spend is £543.81 while the maximum spend is £6588.65 which signifies that this group has a </w:t>
      </w:r>
      <w:r w:rsidRPr="004A13D7">
        <w:rPr>
          <w:b/>
          <w:bCs/>
        </w:rPr>
        <w:t>very strong purchasing power</w:t>
      </w:r>
      <w:r w:rsidRPr="00FF7918">
        <w:t xml:space="preserve">. Based on all this, these customers would likely fall under the </w:t>
      </w:r>
      <w:r w:rsidRPr="00FF7918">
        <w:rPr>
          <w:b/>
          <w:bCs/>
        </w:rPr>
        <w:t>‘VVIP</w:t>
      </w:r>
      <w:r w:rsidR="00FF7918" w:rsidRPr="00FF7918">
        <w:rPr>
          <w:b/>
          <w:bCs/>
        </w:rPr>
        <w:t>’</w:t>
      </w:r>
      <w:r w:rsidRPr="00FF7918">
        <w:t xml:space="preserve"> category.</w:t>
      </w:r>
    </w:p>
    <w:p w14:paraId="46D9A758" w14:textId="77777777" w:rsidR="00E81461" w:rsidRPr="00FF7918" w:rsidRDefault="00E81461" w:rsidP="00E81461">
      <w:pPr>
        <w:pStyle w:val="NoSpacing"/>
      </w:pPr>
    </w:p>
    <w:p w14:paraId="3544CE55" w14:textId="2ECF8A55" w:rsidR="00C417D7" w:rsidRPr="00FF7918" w:rsidRDefault="00C417D7" w:rsidP="00E81461">
      <w:pPr>
        <w:pStyle w:val="NoSpacing"/>
        <w:jc w:val="both"/>
      </w:pPr>
      <w:r w:rsidRPr="00FF7918">
        <w:rPr>
          <w:b/>
          <w:bCs/>
        </w:rPr>
        <w:t>Segment 5:</w:t>
      </w:r>
      <w:r w:rsidRPr="00FF7918">
        <w:t xml:space="preserve"> This segment includes </w:t>
      </w:r>
      <w:r w:rsidRPr="00FF7918">
        <w:rPr>
          <w:b/>
          <w:bCs/>
        </w:rPr>
        <w:t>675 customers</w:t>
      </w:r>
      <w:r w:rsidRPr="00FF7918">
        <w:t xml:space="preserve"> with an </w:t>
      </w:r>
      <w:r w:rsidRPr="004A13D7">
        <w:rPr>
          <w:b/>
          <w:bCs/>
        </w:rPr>
        <w:t>average spend of £384.92</w:t>
      </w:r>
      <w:r w:rsidRPr="00FF7918">
        <w:t xml:space="preserve">. On average, they make approximately </w:t>
      </w:r>
      <w:r w:rsidRPr="004A13D7">
        <w:rPr>
          <w:b/>
          <w:bCs/>
        </w:rPr>
        <w:t>32.42 visits</w:t>
      </w:r>
      <w:r w:rsidRPr="00FF7918">
        <w:t xml:space="preserve"> and purchase 323.79 items overall. While spending £1.02 on vegetarian food, they allocate £1.47 towards other foods and £1.16 towards miscellaneous categories. Interestingly, the maximum </w:t>
      </w:r>
      <w:proofErr w:type="gramStart"/>
      <w:r w:rsidRPr="00FF7918">
        <w:t>spend</w:t>
      </w:r>
      <w:proofErr w:type="gramEnd"/>
      <w:r w:rsidRPr="00FF7918">
        <w:t xml:space="preserve"> in all the categories ranges between £1.91 - £3.85, suggesting an </w:t>
      </w:r>
      <w:r w:rsidRPr="004A13D7">
        <w:rPr>
          <w:b/>
          <w:bCs/>
        </w:rPr>
        <w:t>equal preference for all categories</w:t>
      </w:r>
      <w:r w:rsidRPr="00FF7918">
        <w:t>.</w:t>
      </w:r>
      <w:r w:rsidR="00E81461" w:rsidRPr="00FF7918">
        <w:t xml:space="preserve"> </w:t>
      </w:r>
      <w:r w:rsidRPr="00FF7918">
        <w:t xml:space="preserve">Here, the minimum total spend is £115.9 and the maximum spend is £928.01 making it a group with </w:t>
      </w:r>
      <w:r w:rsidRPr="004A13D7">
        <w:rPr>
          <w:b/>
          <w:bCs/>
        </w:rPr>
        <w:t>lower purchasing power</w:t>
      </w:r>
      <w:r w:rsidRPr="00FF7918">
        <w:t>. Considering all this, we can say these customers would be under ‘</w:t>
      </w:r>
      <w:r w:rsidRPr="00FF7918">
        <w:rPr>
          <w:b/>
          <w:bCs/>
        </w:rPr>
        <w:t>At risk’</w:t>
      </w:r>
      <w:r w:rsidRPr="00FF7918">
        <w:t xml:space="preserve"> customers.</w:t>
      </w:r>
    </w:p>
    <w:p w14:paraId="6BB4EEAC" w14:textId="77777777" w:rsidR="009D0F9D" w:rsidRPr="00FF7918" w:rsidRDefault="009D0F9D" w:rsidP="00E81461">
      <w:pPr>
        <w:pStyle w:val="NoSpacing"/>
        <w:jc w:val="both"/>
        <w:rPr>
          <w:b/>
          <w:bCs/>
        </w:rPr>
      </w:pPr>
    </w:p>
    <w:p w14:paraId="2BAC62FB" w14:textId="702F9004" w:rsidR="00C417D7" w:rsidRPr="00FF7918" w:rsidRDefault="00C417D7" w:rsidP="00E81461">
      <w:pPr>
        <w:pStyle w:val="NoSpacing"/>
        <w:jc w:val="both"/>
      </w:pPr>
      <w:r w:rsidRPr="00FF7918">
        <w:rPr>
          <w:b/>
          <w:bCs/>
        </w:rPr>
        <w:t>Segment 6:</w:t>
      </w:r>
      <w:r w:rsidRPr="00FF7918">
        <w:t xml:space="preserve"> Encompassing </w:t>
      </w:r>
      <w:r w:rsidRPr="00FF7918">
        <w:rPr>
          <w:b/>
          <w:bCs/>
        </w:rPr>
        <w:t>930 customers</w:t>
      </w:r>
      <w:r w:rsidRPr="00FF7918">
        <w:t xml:space="preserve">, this segment exhibits an </w:t>
      </w:r>
      <w:r w:rsidRPr="004A13D7">
        <w:rPr>
          <w:b/>
          <w:bCs/>
        </w:rPr>
        <w:t>average spend of £710.23</w:t>
      </w:r>
      <w:r w:rsidRPr="00FF7918">
        <w:t xml:space="preserve">. Customers in this segment make around </w:t>
      </w:r>
      <w:r w:rsidRPr="00BD1E04">
        <w:rPr>
          <w:b/>
          <w:bCs/>
        </w:rPr>
        <w:t>62.5 visits</w:t>
      </w:r>
      <w:r w:rsidRPr="00FF7918">
        <w:t xml:space="preserve"> and have purchased over 625.71 items. With an average basket spend of £1.36, they allocate £0.978 towards vegetarian food, £1.409 towards other foods, and £1.10 towards miscellaneous categories </w:t>
      </w:r>
      <w:r w:rsidRPr="00BD1E04">
        <w:rPr>
          <w:b/>
          <w:bCs/>
        </w:rPr>
        <w:t>indicating a preference for food categories than miscellaneous</w:t>
      </w:r>
      <w:r w:rsidRPr="00FF7918">
        <w:t xml:space="preserve"> as compared to other segments. Notably, the maximum spend in the other food category is £6.431, followed by miscellaneous with £2.52. The minimum total </w:t>
      </w:r>
      <w:proofErr w:type="gramStart"/>
      <w:r w:rsidRPr="00FF7918">
        <w:t>spend</w:t>
      </w:r>
      <w:proofErr w:type="gramEnd"/>
      <w:r w:rsidRPr="00FF7918">
        <w:t xml:space="preserve"> here is £294.38 while the maximum spend is £2211.59 indicating that there is a </w:t>
      </w:r>
      <w:r w:rsidRPr="004A13D7">
        <w:rPr>
          <w:b/>
          <w:bCs/>
        </w:rPr>
        <w:t>wide range in purchasing power</w:t>
      </w:r>
      <w:r w:rsidRPr="00FF7918">
        <w:t xml:space="preserve"> of people. These customers can be considered as the </w:t>
      </w:r>
      <w:r w:rsidRPr="00FF7918">
        <w:rPr>
          <w:b/>
          <w:bCs/>
        </w:rPr>
        <w:t xml:space="preserve">‘Loyal’ </w:t>
      </w:r>
      <w:r w:rsidRPr="00FF7918">
        <w:t>customers.</w:t>
      </w:r>
    </w:p>
    <w:p w14:paraId="0C9621F9" w14:textId="0D7DDCF2" w:rsidR="00183739" w:rsidRPr="00FF7918" w:rsidRDefault="007C2343" w:rsidP="007C2343">
      <w:pPr>
        <w:pStyle w:val="ListParagraph"/>
        <w:ind w:left="0"/>
        <w:jc w:val="both"/>
        <w:rPr>
          <w:b/>
          <w:bCs/>
        </w:rPr>
      </w:pPr>
      <w:r w:rsidRPr="007C2343">
        <w:rPr>
          <w:b/>
          <w:bCs/>
        </w:rPr>
        <w:lastRenderedPageBreak/>
        <w:drawing>
          <wp:inline distT="0" distB="0" distL="0" distR="0" wp14:anchorId="3091F466" wp14:editId="0DFDE5E1">
            <wp:extent cx="6087110" cy="2451100"/>
            <wp:effectExtent l="0" t="0" r="8890" b="6350"/>
            <wp:docPr id="17693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7144" name=""/>
                    <pic:cNvPicPr/>
                  </pic:nvPicPr>
                  <pic:blipFill>
                    <a:blip r:embed="rId14"/>
                    <a:stretch>
                      <a:fillRect/>
                    </a:stretch>
                  </pic:blipFill>
                  <pic:spPr>
                    <a:xfrm>
                      <a:off x="0" y="0"/>
                      <a:ext cx="6087110" cy="2451100"/>
                    </a:xfrm>
                    <a:prstGeom prst="rect">
                      <a:avLst/>
                    </a:prstGeom>
                  </pic:spPr>
                </pic:pic>
              </a:graphicData>
            </a:graphic>
          </wp:inline>
        </w:drawing>
      </w:r>
    </w:p>
    <w:p w14:paraId="6899E733" w14:textId="20202773" w:rsidR="00271652" w:rsidRPr="00FF7918" w:rsidRDefault="00183739" w:rsidP="00183739">
      <w:pPr>
        <w:pStyle w:val="ListParagraph"/>
        <w:numPr>
          <w:ilvl w:val="0"/>
          <w:numId w:val="1"/>
        </w:numPr>
        <w:jc w:val="both"/>
        <w:rPr>
          <w:b/>
          <w:bCs/>
          <w:u w:val="single"/>
        </w:rPr>
      </w:pPr>
      <w:r w:rsidRPr="00FF7918">
        <w:rPr>
          <w:b/>
          <w:bCs/>
          <w:u w:val="single"/>
        </w:rPr>
        <w:t>Summary:</w:t>
      </w:r>
    </w:p>
    <w:p w14:paraId="49EFD7A7" w14:textId="5BC85427" w:rsidR="00183739" w:rsidRPr="00FF7918" w:rsidRDefault="00183739" w:rsidP="00183739">
      <w:pPr>
        <w:jc w:val="both"/>
      </w:pPr>
      <w:r w:rsidRPr="00FF7918">
        <w:t xml:space="preserve">Upon </w:t>
      </w:r>
      <w:proofErr w:type="spellStart"/>
      <w:r w:rsidRPr="00FF7918">
        <w:t>analyzing</w:t>
      </w:r>
      <w:proofErr w:type="spellEnd"/>
      <w:r w:rsidRPr="00FF7918">
        <w:t xml:space="preserve"> the six segments derived from clustering, I recommend focusing marketing efforts on Segment 3 (Platinum Category) and Segment 6 (Loyal Customers) for the following reasons:</w:t>
      </w:r>
    </w:p>
    <w:p w14:paraId="1130ED33" w14:textId="2F494649" w:rsidR="00183739" w:rsidRPr="00FF7918" w:rsidRDefault="00183739" w:rsidP="00FF7918">
      <w:pPr>
        <w:pStyle w:val="NoSpacing"/>
        <w:rPr>
          <w:b/>
          <w:bCs/>
        </w:rPr>
      </w:pPr>
      <w:r w:rsidRPr="00FF7918">
        <w:rPr>
          <w:b/>
          <w:bCs/>
        </w:rPr>
        <w:t>Segment 3 (Platinum Category):</w:t>
      </w:r>
    </w:p>
    <w:p w14:paraId="35245565" w14:textId="6D588CA3" w:rsidR="00E81461" w:rsidRDefault="00E81461" w:rsidP="00FF7918">
      <w:pPr>
        <w:pStyle w:val="NoSpacing"/>
        <w:jc w:val="both"/>
      </w:pPr>
      <w:r w:rsidRPr="00FF7918">
        <w:t xml:space="preserve">Customers here exhibit high average </w:t>
      </w:r>
      <w:r w:rsidR="002F3B70" w:rsidRPr="00FF7918">
        <w:t>spending</w:t>
      </w:r>
      <w:r w:rsidRPr="00FF7918">
        <w:t xml:space="preserve"> and frequent visits, indicating strong purchasing power and loyalty.</w:t>
      </w:r>
      <w:r w:rsidR="002F3B70" w:rsidRPr="00FF7918">
        <w:t xml:space="preserve"> </w:t>
      </w:r>
      <w:r w:rsidRPr="00FF7918">
        <w:t xml:space="preserve">They have </w:t>
      </w:r>
      <w:r w:rsidR="002F3B70" w:rsidRPr="00FF7918">
        <w:t xml:space="preserve">a </w:t>
      </w:r>
      <w:r w:rsidRPr="00FF7918">
        <w:t>strong interest in miscellaneous items like confectionery, newspapers and magazines, tobacco, lottery, cashpoint services, seasonal gifting, and practical items presenting opportunities for cross-selling and upselling initiatives.</w:t>
      </w:r>
      <w:r w:rsidR="002F3B70" w:rsidRPr="00FF7918">
        <w:t xml:space="preserve"> </w:t>
      </w:r>
      <w:r w:rsidRPr="00FF7918">
        <w:t>Targeting Segment 3 with personalized marketing campaigns and loyalty programs can further enhance customer satisfaction and retention.</w:t>
      </w:r>
    </w:p>
    <w:p w14:paraId="070D1B53" w14:textId="77777777" w:rsidR="00FF7918" w:rsidRPr="00FF7918" w:rsidRDefault="00FF7918" w:rsidP="00FF7918">
      <w:pPr>
        <w:pStyle w:val="NoSpacing"/>
      </w:pPr>
    </w:p>
    <w:p w14:paraId="7308FD59" w14:textId="77777777" w:rsidR="002F3B70" w:rsidRPr="00FF7918" w:rsidRDefault="00183739" w:rsidP="009D0F9D">
      <w:pPr>
        <w:pStyle w:val="NoSpacing"/>
        <w:rPr>
          <w:b/>
          <w:bCs/>
        </w:rPr>
      </w:pPr>
      <w:r w:rsidRPr="00FF7918">
        <w:rPr>
          <w:b/>
          <w:bCs/>
        </w:rPr>
        <w:t>Segment 6 (Loyal Customers):</w:t>
      </w:r>
    </w:p>
    <w:p w14:paraId="4D5F4EFA" w14:textId="50F8BE22" w:rsidR="00E81461" w:rsidRPr="00FF7918" w:rsidRDefault="002F3B70" w:rsidP="00FF7918">
      <w:pPr>
        <w:pStyle w:val="NoSpacing"/>
        <w:spacing w:line="276" w:lineRule="auto"/>
        <w:jc w:val="both"/>
      </w:pPr>
      <w:r w:rsidRPr="00FF7918">
        <w:t>C</w:t>
      </w:r>
      <w:r w:rsidR="00E81461" w:rsidRPr="00FF7918">
        <w:t>ustomers</w:t>
      </w:r>
      <w:r w:rsidRPr="00FF7918">
        <w:t xml:space="preserve"> here</w:t>
      </w:r>
      <w:r w:rsidR="00E81461" w:rsidRPr="00FF7918">
        <w:t xml:space="preserve"> demonstrate consistent spending </w:t>
      </w:r>
      <w:proofErr w:type="spellStart"/>
      <w:r w:rsidR="00E81461" w:rsidRPr="00FF7918">
        <w:t>behavior</w:t>
      </w:r>
      <w:proofErr w:type="spellEnd"/>
      <w:r w:rsidR="00E81461" w:rsidRPr="00FF7918">
        <w:t xml:space="preserve"> and a preference for food items, mostly in categories </w:t>
      </w:r>
      <w:r w:rsidRPr="00FF7918">
        <w:t xml:space="preserve">of </w:t>
      </w:r>
      <w:r w:rsidR="00E81461" w:rsidRPr="00FF7918">
        <w:t>bakery products, discount bakery items, prepared meals, drinks, soft drinks, frozen foods, meat, deli items, and world foods.</w:t>
      </w:r>
      <w:r w:rsidRPr="00FF7918">
        <w:t xml:space="preserve"> </w:t>
      </w:r>
      <w:r w:rsidR="00E81461" w:rsidRPr="00FF7918">
        <w:t>With high visit frequency and strong purchasing power, they represent a valuable market segment for the company.</w:t>
      </w:r>
      <w:r w:rsidRPr="00FF7918">
        <w:t xml:space="preserve"> </w:t>
      </w:r>
      <w:r w:rsidR="00E81461" w:rsidRPr="00FF7918">
        <w:t>Implementing targeted promotions, exclusive offers, and personalized communication channels can strengthen relationships with Segment 6 customers and drive repeat purchases.</w:t>
      </w:r>
    </w:p>
    <w:p w14:paraId="1403DA71" w14:textId="2AF1940A" w:rsidR="00183739" w:rsidRPr="00FF7918" w:rsidRDefault="00183739" w:rsidP="009D0F9D">
      <w:pPr>
        <w:spacing w:line="276" w:lineRule="auto"/>
        <w:jc w:val="both"/>
        <w:rPr>
          <w:b/>
          <w:bCs/>
          <w:u w:val="single"/>
        </w:rPr>
      </w:pPr>
      <w:r w:rsidRPr="00FF7918">
        <w:rPr>
          <w:b/>
          <w:bCs/>
          <w:u w:val="single"/>
        </w:rPr>
        <w:t>Marketing Strategy Suggestions:</w:t>
      </w:r>
    </w:p>
    <w:tbl>
      <w:tblPr>
        <w:tblStyle w:val="TableGrid"/>
        <w:tblW w:w="9922" w:type="dxa"/>
        <w:tblLook w:val="04A0" w:firstRow="1" w:lastRow="0" w:firstColumn="1" w:lastColumn="0" w:noHBand="0" w:noVBand="1"/>
      </w:tblPr>
      <w:tblGrid>
        <w:gridCol w:w="4961"/>
        <w:gridCol w:w="4961"/>
      </w:tblGrid>
      <w:tr w:rsidR="009D0F9D" w:rsidRPr="00FF7918" w14:paraId="62891E72" w14:textId="77777777" w:rsidTr="00FF7918">
        <w:trPr>
          <w:trHeight w:val="56"/>
        </w:trPr>
        <w:tc>
          <w:tcPr>
            <w:tcW w:w="4961" w:type="dxa"/>
          </w:tcPr>
          <w:p w14:paraId="3B5009E6" w14:textId="77777777" w:rsidR="009D0F9D" w:rsidRPr="00FF7918" w:rsidRDefault="009D0F9D" w:rsidP="0085295D">
            <w:pPr>
              <w:jc w:val="center"/>
              <w:rPr>
                <w:b/>
                <w:bCs/>
              </w:rPr>
            </w:pPr>
            <w:r w:rsidRPr="00FF7918">
              <w:rPr>
                <w:b/>
                <w:bCs/>
              </w:rPr>
              <w:t>Segment 3</w:t>
            </w:r>
          </w:p>
        </w:tc>
        <w:tc>
          <w:tcPr>
            <w:tcW w:w="4961" w:type="dxa"/>
          </w:tcPr>
          <w:p w14:paraId="0898A1F0" w14:textId="77777777" w:rsidR="009D0F9D" w:rsidRPr="00FF7918" w:rsidRDefault="009D0F9D" w:rsidP="0085295D">
            <w:pPr>
              <w:jc w:val="center"/>
              <w:rPr>
                <w:b/>
                <w:bCs/>
              </w:rPr>
            </w:pPr>
            <w:r w:rsidRPr="00FF7918">
              <w:rPr>
                <w:b/>
                <w:bCs/>
              </w:rPr>
              <w:t>Segment 6</w:t>
            </w:r>
          </w:p>
        </w:tc>
      </w:tr>
      <w:tr w:rsidR="009D0F9D" w:rsidRPr="00FF7918" w14:paraId="25E05FE6" w14:textId="77777777" w:rsidTr="00FF7918">
        <w:trPr>
          <w:trHeight w:val="184"/>
        </w:trPr>
        <w:tc>
          <w:tcPr>
            <w:tcW w:w="4961" w:type="dxa"/>
          </w:tcPr>
          <w:p w14:paraId="4161E656" w14:textId="77777777" w:rsidR="009D0F9D" w:rsidRPr="00FF7918" w:rsidRDefault="009D0F9D" w:rsidP="0085295D">
            <w:r w:rsidRPr="00FF7918">
              <w:rPr>
                <w:b/>
                <w:bCs/>
              </w:rPr>
              <w:t>Personalized Loyalty Programs:</w:t>
            </w:r>
            <w:r w:rsidRPr="00FF7918">
              <w:t xml:space="preserve"> Offer exclusive benefits and rewards tailored to </w:t>
            </w:r>
            <w:r w:rsidRPr="00FF7918">
              <w:rPr>
                <w:lang w:eastAsia="en-IN"/>
              </w:rPr>
              <w:t>high-spenders and frequent visitors</w:t>
            </w:r>
            <w:r w:rsidRPr="00FF7918">
              <w:t>.</w:t>
            </w:r>
          </w:p>
          <w:p w14:paraId="63CE52CC" w14:textId="77777777" w:rsidR="009D0F9D" w:rsidRPr="00FF7918" w:rsidRDefault="009D0F9D" w:rsidP="0085295D"/>
        </w:tc>
        <w:tc>
          <w:tcPr>
            <w:tcW w:w="4961" w:type="dxa"/>
          </w:tcPr>
          <w:p w14:paraId="7D4B48FA" w14:textId="77777777" w:rsidR="009D0F9D" w:rsidRPr="00FF7918" w:rsidRDefault="009D0F9D" w:rsidP="0085295D">
            <w:r w:rsidRPr="00FF7918">
              <w:rPr>
                <w:b/>
                <w:bCs/>
              </w:rPr>
              <w:t>Appreciation and Recognition:</w:t>
            </w:r>
            <w:r w:rsidRPr="00FF7918">
              <w:t xml:space="preserve"> Express gratitude through personalized gestures and discounts.</w:t>
            </w:r>
          </w:p>
          <w:p w14:paraId="4C3B9C1A" w14:textId="77777777" w:rsidR="009D0F9D" w:rsidRPr="00FF7918" w:rsidRDefault="009D0F9D" w:rsidP="0085295D"/>
        </w:tc>
      </w:tr>
      <w:tr w:rsidR="009D0F9D" w:rsidRPr="00FF7918" w14:paraId="34CF29CF" w14:textId="77777777" w:rsidTr="00FF7918">
        <w:trPr>
          <w:trHeight w:val="227"/>
        </w:trPr>
        <w:tc>
          <w:tcPr>
            <w:tcW w:w="4961" w:type="dxa"/>
          </w:tcPr>
          <w:p w14:paraId="2BCBB4DA" w14:textId="77777777" w:rsidR="009D0F9D" w:rsidRPr="00FF7918" w:rsidRDefault="009D0F9D" w:rsidP="0085295D">
            <w:r w:rsidRPr="00FF7918">
              <w:rPr>
                <w:b/>
                <w:bCs/>
              </w:rPr>
              <w:t>Upselling and Cross-Selling:</w:t>
            </w:r>
            <w:r w:rsidRPr="00FF7918">
              <w:t xml:space="preserve"> Recommend complementary products and highlight premium items in miscellaneous categories.</w:t>
            </w:r>
          </w:p>
          <w:p w14:paraId="40E5CECF" w14:textId="77777777" w:rsidR="009D0F9D" w:rsidRPr="00FF7918" w:rsidRDefault="009D0F9D" w:rsidP="0085295D"/>
        </w:tc>
        <w:tc>
          <w:tcPr>
            <w:tcW w:w="4961" w:type="dxa"/>
          </w:tcPr>
          <w:p w14:paraId="4B3BBD34" w14:textId="77777777" w:rsidR="009D0F9D" w:rsidRPr="00FF7918" w:rsidRDefault="009D0F9D" w:rsidP="0085295D">
            <w:pPr>
              <w:rPr>
                <w:lang w:eastAsia="en-IN"/>
              </w:rPr>
            </w:pPr>
            <w:r w:rsidRPr="00FF7918">
              <w:rPr>
                <w:b/>
                <w:bCs/>
              </w:rPr>
              <w:t>Exclusive discounts:</w:t>
            </w:r>
            <w:r w:rsidRPr="00FF7918">
              <w:t xml:space="preserve"> </w:t>
            </w:r>
            <w:r w:rsidRPr="00FF7918">
              <w:rPr>
                <w:lang w:eastAsia="en-IN"/>
              </w:rPr>
              <w:t>Offer exclusive discounts and promotions on preferred food categories like bakery and prepared meals.</w:t>
            </w:r>
          </w:p>
          <w:p w14:paraId="4DD66435" w14:textId="77777777" w:rsidR="009D0F9D" w:rsidRPr="00FF7918" w:rsidRDefault="009D0F9D" w:rsidP="0085295D"/>
        </w:tc>
      </w:tr>
      <w:tr w:rsidR="009D0F9D" w:rsidRPr="00FF7918" w14:paraId="07639DB8" w14:textId="77777777" w:rsidTr="00FF7918">
        <w:trPr>
          <w:trHeight w:val="386"/>
        </w:trPr>
        <w:tc>
          <w:tcPr>
            <w:tcW w:w="4961" w:type="dxa"/>
          </w:tcPr>
          <w:p w14:paraId="0A83BAE7" w14:textId="77777777" w:rsidR="009D0F9D" w:rsidRPr="00FF7918" w:rsidRDefault="009D0F9D" w:rsidP="0085295D">
            <w:r w:rsidRPr="00FF7918">
              <w:rPr>
                <w:b/>
                <w:bCs/>
              </w:rPr>
              <w:t>Personalized Communication:</w:t>
            </w:r>
            <w:r w:rsidRPr="00FF7918">
              <w:t xml:space="preserve"> Utilize targeted emails and promotions based on preferences.</w:t>
            </w:r>
          </w:p>
          <w:p w14:paraId="7AA5D514" w14:textId="77777777" w:rsidR="009D0F9D" w:rsidRPr="00FF7918" w:rsidRDefault="009D0F9D" w:rsidP="0085295D"/>
        </w:tc>
        <w:tc>
          <w:tcPr>
            <w:tcW w:w="4961" w:type="dxa"/>
          </w:tcPr>
          <w:p w14:paraId="46EC6410" w14:textId="77777777" w:rsidR="009D0F9D" w:rsidRPr="00FF7918" w:rsidRDefault="009D0F9D" w:rsidP="0085295D">
            <w:r w:rsidRPr="00FF7918">
              <w:rPr>
                <w:b/>
                <w:bCs/>
              </w:rPr>
              <w:t>Referral Programs and Exclusive Loyalty Rewards:</w:t>
            </w:r>
            <w:r w:rsidRPr="00FF7918">
              <w:t xml:space="preserve"> Introduce tiered programs with escalating benefits.</w:t>
            </w:r>
          </w:p>
          <w:p w14:paraId="75C7A721" w14:textId="77777777" w:rsidR="009D0F9D" w:rsidRPr="00FF7918" w:rsidRDefault="009D0F9D" w:rsidP="0085295D"/>
        </w:tc>
      </w:tr>
    </w:tbl>
    <w:p w14:paraId="00C9DDF9" w14:textId="3F1FFC2C" w:rsidR="009D0F9D" w:rsidRPr="00FF7918" w:rsidRDefault="009D0F9D" w:rsidP="009D0F9D">
      <w:pPr>
        <w:jc w:val="both"/>
      </w:pPr>
      <w:r w:rsidRPr="00FF7918">
        <w:t xml:space="preserve">Implementing these strategies fosters strong relationships, drives repeat purchases, and encourages brand advocacy, ensuring sustainable growth and profitability. </w:t>
      </w:r>
    </w:p>
    <w:p w14:paraId="232AE761" w14:textId="232941B1" w:rsidR="00E81461" w:rsidRPr="00FF7918" w:rsidRDefault="00E81461" w:rsidP="009D0F9D">
      <w:pPr>
        <w:jc w:val="both"/>
      </w:pPr>
      <w:r w:rsidRPr="00FF7918">
        <w:rPr>
          <w:b/>
          <w:bCs/>
        </w:rPr>
        <w:t>Suggestions for Further Analysis:</w:t>
      </w:r>
      <w:r w:rsidRPr="00FF7918">
        <w:t xml:space="preserve"> Conduct periodic evaluations of marketing campaigns and customer engagement metrics to measure effectiveness and identify areas for improvement.</w:t>
      </w:r>
    </w:p>
    <w:sectPr w:rsidR="00E81461" w:rsidRPr="00FF7918" w:rsidSect="00A734A6">
      <w:headerReference w:type="default" r:id="rId15"/>
      <w:pgSz w:w="11906" w:h="16838"/>
      <w:pgMar w:top="1440" w:right="1080" w:bottom="1440" w:left="1080" w:header="708"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00F7" w14:textId="77777777" w:rsidR="00A734A6" w:rsidRDefault="00A734A6" w:rsidP="00DA600F">
      <w:pPr>
        <w:spacing w:after="0" w:line="240" w:lineRule="auto"/>
      </w:pPr>
      <w:r>
        <w:separator/>
      </w:r>
    </w:p>
  </w:endnote>
  <w:endnote w:type="continuationSeparator" w:id="0">
    <w:p w14:paraId="79494FA0" w14:textId="77777777" w:rsidR="00A734A6" w:rsidRDefault="00A734A6" w:rsidP="00DA6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D4C6" w14:textId="77777777" w:rsidR="00A734A6" w:rsidRDefault="00A734A6" w:rsidP="00DA600F">
      <w:pPr>
        <w:spacing w:after="0" w:line="240" w:lineRule="auto"/>
      </w:pPr>
      <w:r>
        <w:separator/>
      </w:r>
    </w:p>
  </w:footnote>
  <w:footnote w:type="continuationSeparator" w:id="0">
    <w:p w14:paraId="14FB12E0" w14:textId="77777777" w:rsidR="00A734A6" w:rsidRDefault="00A734A6" w:rsidP="00DA6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AB5F" w14:textId="1AE74582" w:rsidR="007C2343" w:rsidRDefault="007C2343" w:rsidP="007C2343">
    <w:pPr>
      <w:pStyle w:val="Header"/>
      <w:jc w:val="right"/>
      <w:rPr>
        <w:lang w:val="en-US"/>
      </w:rPr>
    </w:pPr>
    <w:r>
      <w:rPr>
        <w:lang w:val="en-US"/>
      </w:rPr>
      <w:t>20549904</w:t>
    </w:r>
  </w:p>
  <w:p w14:paraId="16801F10" w14:textId="77777777" w:rsidR="007C2343" w:rsidRPr="007C2343" w:rsidRDefault="007C234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6F2"/>
    <w:multiLevelType w:val="hybridMultilevel"/>
    <w:tmpl w:val="F016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F124D"/>
    <w:multiLevelType w:val="hybridMultilevel"/>
    <w:tmpl w:val="8AC2C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C647B"/>
    <w:multiLevelType w:val="hybridMultilevel"/>
    <w:tmpl w:val="375C3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88491C"/>
    <w:multiLevelType w:val="hybridMultilevel"/>
    <w:tmpl w:val="FEB40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B45F72"/>
    <w:multiLevelType w:val="hybridMultilevel"/>
    <w:tmpl w:val="1E40F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F01D21"/>
    <w:multiLevelType w:val="hybridMultilevel"/>
    <w:tmpl w:val="1E40F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5D5529"/>
    <w:multiLevelType w:val="hybridMultilevel"/>
    <w:tmpl w:val="8DC8D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6D0669"/>
    <w:multiLevelType w:val="hybridMultilevel"/>
    <w:tmpl w:val="886C1C08"/>
    <w:lvl w:ilvl="0" w:tplc="40090001">
      <w:start w:val="1"/>
      <w:numFmt w:val="bullet"/>
      <w:lvlText w:val=""/>
      <w:lvlJc w:val="left"/>
      <w:pPr>
        <w:ind w:left="720" w:hanging="360"/>
      </w:pPr>
      <w:rPr>
        <w:rFonts w:ascii="Symbol" w:hAnsi="Symbol" w:hint="default"/>
      </w:rPr>
    </w:lvl>
    <w:lvl w:ilvl="1" w:tplc="AF327CC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A34296"/>
    <w:multiLevelType w:val="hybridMultilevel"/>
    <w:tmpl w:val="1E40F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23631B"/>
    <w:multiLevelType w:val="hybridMultilevel"/>
    <w:tmpl w:val="87C8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2373B1"/>
    <w:multiLevelType w:val="hybridMultilevel"/>
    <w:tmpl w:val="8C565446"/>
    <w:lvl w:ilvl="0" w:tplc="DA8817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34619F"/>
    <w:multiLevelType w:val="hybridMultilevel"/>
    <w:tmpl w:val="1E40F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A75840"/>
    <w:multiLevelType w:val="hybridMultilevel"/>
    <w:tmpl w:val="CDA6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5F2026"/>
    <w:multiLevelType w:val="hybridMultilevel"/>
    <w:tmpl w:val="0C6E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1322FF"/>
    <w:multiLevelType w:val="multilevel"/>
    <w:tmpl w:val="AF22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C3361"/>
    <w:multiLevelType w:val="hybridMultilevel"/>
    <w:tmpl w:val="881071B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6" w15:restartNumberingAfterBreak="0">
    <w:nsid w:val="51FD25F1"/>
    <w:multiLevelType w:val="multilevel"/>
    <w:tmpl w:val="7A84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B71EE"/>
    <w:multiLevelType w:val="hybridMultilevel"/>
    <w:tmpl w:val="1E40F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216CE8"/>
    <w:multiLevelType w:val="hybridMultilevel"/>
    <w:tmpl w:val="9020B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829236">
    <w:abstractNumId w:val="11"/>
  </w:num>
  <w:num w:numId="2" w16cid:durableId="223757432">
    <w:abstractNumId w:val="10"/>
  </w:num>
  <w:num w:numId="3" w16cid:durableId="105199800">
    <w:abstractNumId w:val="6"/>
  </w:num>
  <w:num w:numId="4" w16cid:durableId="1730567679">
    <w:abstractNumId w:val="13"/>
  </w:num>
  <w:num w:numId="5" w16cid:durableId="792940532">
    <w:abstractNumId w:val="2"/>
  </w:num>
  <w:num w:numId="6" w16cid:durableId="1030836706">
    <w:abstractNumId w:val="3"/>
  </w:num>
  <w:num w:numId="7" w16cid:durableId="1637222587">
    <w:abstractNumId w:val="7"/>
  </w:num>
  <w:num w:numId="8" w16cid:durableId="351417387">
    <w:abstractNumId w:val="17"/>
  </w:num>
  <w:num w:numId="9" w16cid:durableId="1143430228">
    <w:abstractNumId w:val="8"/>
  </w:num>
  <w:num w:numId="10" w16cid:durableId="834535676">
    <w:abstractNumId w:val="5"/>
  </w:num>
  <w:num w:numId="11" w16cid:durableId="1880311253">
    <w:abstractNumId w:val="4"/>
  </w:num>
  <w:num w:numId="12" w16cid:durableId="1639645963">
    <w:abstractNumId w:val="18"/>
  </w:num>
  <w:num w:numId="13" w16cid:durableId="2011789131">
    <w:abstractNumId w:val="12"/>
  </w:num>
  <w:num w:numId="14" w16cid:durableId="1606040316">
    <w:abstractNumId w:val="0"/>
  </w:num>
  <w:num w:numId="15" w16cid:durableId="1931573570">
    <w:abstractNumId w:val="9"/>
  </w:num>
  <w:num w:numId="16" w16cid:durableId="1650748915">
    <w:abstractNumId w:val="15"/>
  </w:num>
  <w:num w:numId="17" w16cid:durableId="1764648619">
    <w:abstractNumId w:val="1"/>
  </w:num>
  <w:num w:numId="18" w16cid:durableId="599802982">
    <w:abstractNumId w:val="16"/>
  </w:num>
  <w:num w:numId="19" w16cid:durableId="1800953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0F"/>
    <w:rsid w:val="00021BB8"/>
    <w:rsid w:val="000C7F8B"/>
    <w:rsid w:val="000D61AE"/>
    <w:rsid w:val="00183739"/>
    <w:rsid w:val="00225C9E"/>
    <w:rsid w:val="00233CD3"/>
    <w:rsid w:val="00271652"/>
    <w:rsid w:val="002918EA"/>
    <w:rsid w:val="002A752F"/>
    <w:rsid w:val="002F3B70"/>
    <w:rsid w:val="00333F22"/>
    <w:rsid w:val="0035417D"/>
    <w:rsid w:val="003F36A4"/>
    <w:rsid w:val="004A13D7"/>
    <w:rsid w:val="005629C0"/>
    <w:rsid w:val="0064332A"/>
    <w:rsid w:val="006618F3"/>
    <w:rsid w:val="007C2343"/>
    <w:rsid w:val="008A0146"/>
    <w:rsid w:val="008C7637"/>
    <w:rsid w:val="009278E0"/>
    <w:rsid w:val="009414DC"/>
    <w:rsid w:val="009D0F9D"/>
    <w:rsid w:val="00A734A6"/>
    <w:rsid w:val="00BD1E04"/>
    <w:rsid w:val="00C35995"/>
    <w:rsid w:val="00C417D7"/>
    <w:rsid w:val="00D22241"/>
    <w:rsid w:val="00D318B4"/>
    <w:rsid w:val="00D73FE0"/>
    <w:rsid w:val="00DA600F"/>
    <w:rsid w:val="00DB22D2"/>
    <w:rsid w:val="00E81461"/>
    <w:rsid w:val="00F2784A"/>
    <w:rsid w:val="00F42E99"/>
    <w:rsid w:val="00FD642C"/>
    <w:rsid w:val="00FF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A2044A"/>
  <w15:chartTrackingRefBased/>
  <w15:docId w15:val="{0F992394-58B3-46A2-88DE-B8126888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00F"/>
  </w:style>
  <w:style w:type="paragraph" w:styleId="Heading1">
    <w:name w:val="heading 1"/>
    <w:basedOn w:val="Normal"/>
    <w:link w:val="Heading1Char"/>
    <w:uiPriority w:val="9"/>
    <w:qFormat/>
    <w:rsid w:val="000D6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00F"/>
    <w:pPr>
      <w:ind w:left="720"/>
      <w:contextualSpacing/>
    </w:pPr>
  </w:style>
  <w:style w:type="paragraph" w:styleId="NoSpacing">
    <w:name w:val="No Spacing"/>
    <w:link w:val="NoSpacingChar"/>
    <w:uiPriority w:val="1"/>
    <w:qFormat/>
    <w:rsid w:val="00DA600F"/>
    <w:pPr>
      <w:spacing w:after="0" w:line="240" w:lineRule="auto"/>
    </w:pPr>
  </w:style>
  <w:style w:type="paragraph" w:styleId="Header">
    <w:name w:val="header"/>
    <w:basedOn w:val="Normal"/>
    <w:link w:val="HeaderChar"/>
    <w:uiPriority w:val="99"/>
    <w:unhideWhenUsed/>
    <w:rsid w:val="00DA6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00F"/>
  </w:style>
  <w:style w:type="paragraph" w:styleId="Footer">
    <w:name w:val="footer"/>
    <w:basedOn w:val="Normal"/>
    <w:link w:val="FooterChar"/>
    <w:uiPriority w:val="99"/>
    <w:unhideWhenUsed/>
    <w:rsid w:val="00DA6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00F"/>
  </w:style>
  <w:style w:type="table" w:styleId="TableGrid">
    <w:name w:val="Table Grid"/>
    <w:basedOn w:val="TableNormal"/>
    <w:uiPriority w:val="39"/>
    <w:rsid w:val="0027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14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1461"/>
    <w:rPr>
      <w:b/>
      <w:bCs/>
    </w:rPr>
  </w:style>
  <w:style w:type="table" w:styleId="TableGridLight">
    <w:name w:val="Grid Table Light"/>
    <w:basedOn w:val="TableNormal"/>
    <w:uiPriority w:val="40"/>
    <w:rsid w:val="009D0F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0D61AE"/>
  </w:style>
  <w:style w:type="character" w:customStyle="1" w:styleId="Heading1Char">
    <w:name w:val="Heading 1 Char"/>
    <w:basedOn w:val="DefaultParagraphFont"/>
    <w:link w:val="Heading1"/>
    <w:uiPriority w:val="9"/>
    <w:rsid w:val="000D61AE"/>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9569">
      <w:bodyDiv w:val="1"/>
      <w:marLeft w:val="0"/>
      <w:marRight w:val="0"/>
      <w:marTop w:val="0"/>
      <w:marBottom w:val="0"/>
      <w:divBdr>
        <w:top w:val="none" w:sz="0" w:space="0" w:color="auto"/>
        <w:left w:val="none" w:sz="0" w:space="0" w:color="auto"/>
        <w:bottom w:val="none" w:sz="0" w:space="0" w:color="auto"/>
        <w:right w:val="none" w:sz="0" w:space="0" w:color="auto"/>
      </w:divBdr>
    </w:div>
    <w:div w:id="1054506121">
      <w:bodyDiv w:val="1"/>
      <w:marLeft w:val="0"/>
      <w:marRight w:val="0"/>
      <w:marTop w:val="0"/>
      <w:marBottom w:val="0"/>
      <w:divBdr>
        <w:top w:val="none" w:sz="0" w:space="0" w:color="auto"/>
        <w:left w:val="none" w:sz="0" w:space="0" w:color="auto"/>
        <w:bottom w:val="none" w:sz="0" w:space="0" w:color="auto"/>
        <w:right w:val="none" w:sz="0" w:space="0" w:color="auto"/>
      </w:divBdr>
    </w:div>
    <w:div w:id="168947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2355</Words>
  <Characters>14738</Characters>
  <Application>Microsoft Office Word</Application>
  <DocSecurity>0</DocSecurity>
  <Lines>280</Lines>
  <Paragraphs>107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Student_Id: 20549904</dc:title>
  <dc:subject/>
  <dc:creator>Prajakta Zaavde</dc:creator>
  <cp:keywords/>
  <dc:description/>
  <cp:lastModifiedBy>Prajakta Zaavde</cp:lastModifiedBy>
  <cp:revision>22</cp:revision>
  <dcterms:created xsi:type="dcterms:W3CDTF">2024-03-07T11:32:00Z</dcterms:created>
  <dcterms:modified xsi:type="dcterms:W3CDTF">2024-03-07T23:08:00Z</dcterms:modified>
  <cp:category>MSc Business Analytics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9b0dc755-8501-4fa8-86df-be5149a2418b</vt:lpwstr>
  </property>
</Properties>
</file>